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40"/>
      </w:pPr>
      <w:r>
        <w:rPr>
          <w:rFonts w:ascii="Arial" w:cs="Arial" w:eastAsia="Arial" w:hAnsi="Arial"/>
          <w:b/>
          <w:bCs/>
          <w:color w:val="1A3255"/>
          <w:sz w:val="30"/>
          <w:szCs w:val="30"/>
        </w:rPr>
        <w:t xml:space="preserve">Prüfliste: Pflichtinhalte eines IKT-Vertrags</w:t>
      </w:r>
    </w:p>
    <w:p>
      <w:pPr>
        <w:spacing w:after="200" w:before="0"/>
      </w:pPr>
      <w:r>
        <w:rPr>
          <w:rFonts w:ascii="Arial" w:cs="Arial" w:eastAsia="Arial" w:hAnsi="Arial"/>
          <w:color w:val="5B6B80"/>
          <w:sz w:val="22"/>
          <w:szCs w:val="22"/>
        </w:rPr>
        <w:t xml:space="preserve">Artikel 30 der Verordnung (EU) 2022/2554 (DORA)</w:t>
      </w:r>
    </w:p>
    <w:tbl>
      <w:tblPr>
        <w:tblW w:type="dxa" w:w="9360"/>
        <w:tblBorders>
          <w:top w:val="single" w:color="CBD5E1" w:sz="4"/>
          <w:left w:val="single" w:color="CBD5E1" w:sz="4"/>
          <w:bottom w:val="single" w:color="CBD5E1" w:sz="4"/>
          <w:right w:val="single" w:color="CBD5E1" w:sz="4"/>
          <w:insideH w:val="single" w:color="auto" w:sz="4"/>
          <w:insideV w:val="single" w:color="auto" w:sz="4"/>
        </w:tblBorders>
      </w:tblPr>
      <w:tblGrid>
        <w:gridCol w:w="3000"/>
        <w:gridCol w:w="6360"/>
      </w:tblGrid>
      <w:tr>
        <w:tc>
          <w:tcPr>
            <w:tcW w:type="dxa" w:w="3000"/>
            <w:shd w:fill="F4F7FB" w:color="auto" w:val="clear"/>
            <w:tcMar>
              <w:top w:type="dxa" w:w="80"/>
              <w:left w:type="dxa" w:w="100"/>
              <w:bottom w:type="dxa" w:w="80"/>
              <w:right w:type="dxa" w:w="100"/>
            </w:tcMar>
          </w:tcPr>
          <w:p>
            <w:pPr>
              <w:spacing w:after="100" w:before="0"/>
            </w:pPr>
            <w:r>
              <w:rPr>
                <w:rFonts w:ascii="Arial" w:cs="Arial" w:eastAsia="Arial" w:hAnsi="Arial"/>
                <w:b/>
                <w:bCs/>
                <w:color w:val="1A3255"/>
                <w:sz w:val="18"/>
                <w:szCs w:val="18"/>
              </w:rPr>
              <w:t xml:space="preserve">Dienstleister</w:t>
            </w:r>
          </w:p>
        </w:tc>
        <w:tc>
          <w:tcPr>
            <w:tcW w:type="dxa" w:w="63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3000"/>
            <w:shd w:fill="F4F7FB" w:color="auto" w:val="clear"/>
            <w:tcMar>
              <w:top w:type="dxa" w:w="80"/>
              <w:left w:type="dxa" w:w="100"/>
              <w:bottom w:type="dxa" w:w="80"/>
              <w:right w:type="dxa" w:w="100"/>
            </w:tcMar>
          </w:tcPr>
          <w:p>
            <w:pPr>
              <w:spacing w:after="100" w:before="0"/>
            </w:pPr>
            <w:r>
              <w:rPr>
                <w:rFonts w:ascii="Arial" w:cs="Arial" w:eastAsia="Arial" w:hAnsi="Arial"/>
                <w:b/>
                <w:bCs/>
                <w:color w:val="1A3255"/>
                <w:sz w:val="18"/>
                <w:szCs w:val="18"/>
              </w:rPr>
              <w:t xml:space="preserve">Vertrag / Kennnummer</w:t>
            </w:r>
          </w:p>
        </w:tc>
        <w:tc>
          <w:tcPr>
            <w:tcW w:type="dxa" w:w="63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3000"/>
            <w:shd w:fill="F4F7FB" w:color="auto" w:val="clear"/>
            <w:tcMar>
              <w:top w:type="dxa" w:w="80"/>
              <w:left w:type="dxa" w:w="100"/>
              <w:bottom w:type="dxa" w:w="80"/>
              <w:right w:type="dxa" w:w="100"/>
            </w:tcMar>
          </w:tcPr>
          <w:p>
            <w:pPr>
              <w:spacing w:after="100" w:before="0"/>
            </w:pPr>
            <w:r>
              <w:rPr>
                <w:rFonts w:ascii="Arial" w:cs="Arial" w:eastAsia="Arial" w:hAnsi="Arial"/>
                <w:b/>
                <w:bCs/>
                <w:color w:val="1A3255"/>
                <w:sz w:val="18"/>
                <w:szCs w:val="18"/>
              </w:rPr>
              <w:t xml:space="preserve">Gestützte Funktion</w:t>
            </w:r>
          </w:p>
        </w:tc>
        <w:tc>
          <w:tcPr>
            <w:tcW w:type="dxa" w:w="63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3000"/>
            <w:shd w:fill="F4F7FB" w:color="auto" w:val="clear"/>
            <w:tcMar>
              <w:top w:type="dxa" w:w="80"/>
              <w:left w:type="dxa" w:w="100"/>
              <w:bottom w:type="dxa" w:w="80"/>
              <w:right w:type="dxa" w:w="100"/>
            </w:tcMar>
          </w:tcPr>
          <w:p>
            <w:pPr>
              <w:spacing w:after="100" w:before="0"/>
            </w:pPr>
            <w:r>
              <w:rPr>
                <w:rFonts w:ascii="Arial" w:cs="Arial" w:eastAsia="Arial" w:hAnsi="Arial"/>
                <w:b/>
                <w:bCs/>
                <w:color w:val="1A3255"/>
                <w:sz w:val="18"/>
                <w:szCs w:val="18"/>
              </w:rPr>
              <w:t xml:space="preserve">Kritisch oder wichtig?</w:t>
            </w:r>
          </w:p>
        </w:tc>
        <w:tc>
          <w:tcPr>
            <w:tcW w:type="dxa" w:w="63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3000"/>
            <w:shd w:fill="F4F7FB" w:color="auto" w:val="clear"/>
            <w:tcMar>
              <w:top w:type="dxa" w:w="80"/>
              <w:left w:type="dxa" w:w="100"/>
              <w:bottom w:type="dxa" w:w="80"/>
              <w:right w:type="dxa" w:w="100"/>
            </w:tcMar>
          </w:tcPr>
          <w:p>
            <w:pPr>
              <w:spacing w:after="100" w:before="0"/>
            </w:pPr>
            <w:r>
              <w:rPr>
                <w:rFonts w:ascii="Arial" w:cs="Arial" w:eastAsia="Arial" w:hAnsi="Arial"/>
                <w:b/>
                <w:bCs/>
                <w:color w:val="1A3255"/>
                <w:sz w:val="18"/>
                <w:szCs w:val="18"/>
              </w:rPr>
              <w:t xml:space="preserve">Geprüft von</w:t>
            </w:r>
          </w:p>
        </w:tc>
        <w:tc>
          <w:tcPr>
            <w:tcW w:type="dxa" w:w="63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3000"/>
            <w:shd w:fill="F4F7FB" w:color="auto" w:val="clear"/>
            <w:tcMar>
              <w:top w:type="dxa" w:w="80"/>
              <w:left w:type="dxa" w:w="100"/>
              <w:bottom w:type="dxa" w:w="80"/>
              <w:right w:type="dxa" w:w="100"/>
            </w:tcMar>
          </w:tcPr>
          <w:p>
            <w:pPr>
              <w:spacing w:after="100" w:before="0"/>
            </w:pPr>
            <w:r>
              <w:rPr>
                <w:rFonts w:ascii="Arial" w:cs="Arial" w:eastAsia="Arial" w:hAnsi="Arial"/>
                <w:b/>
                <w:bCs/>
                <w:color w:val="1A3255"/>
                <w:sz w:val="18"/>
                <w:szCs w:val="18"/>
              </w:rPr>
              <w:t xml:space="preserve">Datum der Prüfung</w:t>
            </w:r>
          </w:p>
        </w:tc>
        <w:tc>
          <w:tcPr>
            <w:tcW w:type="dxa" w:w="63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bl>
    <w:p>
      <w:pPr>
        <w:pStyle w:val="Heading2"/>
        <w:spacing w:after="100" w:before="240"/>
      </w:pPr>
      <w:r>
        <w:rPr>
          <w:rFonts w:ascii="Arial" w:cs="Arial" w:eastAsia="Arial" w:hAnsi="Arial"/>
          <w:b/>
          <w:bCs/>
          <w:color w:val="1A3255"/>
          <w:sz w:val="23"/>
          <w:szCs w:val="23"/>
        </w:rPr>
        <w:t xml:space="preserve">So arbeiten Sie damit</w:t>
      </w:r>
    </w:p>
    <w:p>
      <w:pPr>
        <w:spacing w:after="100" w:before="0"/>
      </w:pPr>
      <w:r>
        <w:rPr>
          <w:rFonts w:ascii="Arial" w:cs="Arial" w:eastAsia="Arial" w:hAnsi="Arial"/>
          <w:color w:val="000000"/>
          <w:sz w:val="20"/>
          <w:szCs w:val="20"/>
        </w:rPr>
        <w:t xml:space="preserve">Gehen Sie den Vertrag einmal von vorn durch und tragen Sie zu jeder Zeile ein, wo die Anforderung steht – Paragraf, Anlage, Seite. Wo nichts steht, ist die Zeile offen: Das ist Ihre Nachverhandlungsliste.</w:t>
      </w:r>
    </w:p>
    <w:p>
      <w:pPr>
        <w:spacing w:after="100" w:before="0"/>
      </w:pPr>
      <w:r>
        <w:rPr>
          <w:rFonts w:ascii="Arial" w:cs="Arial" w:eastAsia="Arial" w:hAnsi="Arial"/>
          <w:color w:val="000000"/>
          <w:sz w:val="20"/>
          <w:szCs w:val="20"/>
        </w:rPr>
        <w:t xml:space="preserve">Ein häufiger Fehler ist, den Abschnitt zu Absatz 3 zu überspringen, weil die Einstufung noch nicht entschieden ist. Umgekehrt wird ein Schuh daraus: Erst die Einstufung, dann der Vertrag. Wer den Vertrag zuerst schließt, verhandelt die Zusatzpflichten später aus einer schlechteren Lage nach.</w:t>
      </w:r>
    </w:p>
    <w:p>
      <w:pPr>
        <w:spacing w:after="200" w:before="0"/>
      </w:pPr>
      <w:r>
        <w:rPr>
          <w:rFonts w:ascii="Arial" w:cs="Arial" w:eastAsia="Arial" w:hAnsi="Arial"/>
          <w:color w:val="000000"/>
          <w:sz w:val="20"/>
          <w:szCs w:val="20"/>
        </w:rPr>
        <w:t xml:space="preserve">„Erfüllt?“ kennt drei Antworten: ja, teilweise, nein. „Teilweise“ ist die häufigste und die wichtigste – sie gehört in die Bemerkung mit dem, was genau fehlt.</w:t>
      </w:r>
    </w:p>
    <w:p>
      <w:pPr>
        <w:pStyle w:val="Heading2"/>
        <w:spacing w:after="100" w:before="240"/>
      </w:pPr>
      <w:r>
        <w:rPr>
          <w:rFonts w:ascii="Arial" w:cs="Arial" w:eastAsia="Arial" w:hAnsi="Arial"/>
          <w:b/>
          <w:bCs/>
          <w:color w:val="1A3255"/>
          <w:sz w:val="23"/>
          <w:szCs w:val="23"/>
        </w:rPr>
        <w:t xml:space="preserve">Die Anforderungen</w:t>
      </w:r>
    </w:p>
    <w:tbl>
      <w:tblPr>
        <w:tblW w:type="dxa" w:w="9360"/>
        <w:tblBorders>
          <w:top w:val="single" w:color="CBD5E1" w:sz="4"/>
          <w:left w:val="single" w:color="CBD5E1" w:sz="4"/>
          <w:bottom w:val="single" w:color="CBD5E1" w:sz="4"/>
          <w:right w:val="single" w:color="CBD5E1" w:sz="4"/>
          <w:insideH w:val="single" w:color="auto" w:sz="4"/>
          <w:insideV w:val="single" w:color="auto" w:sz="4"/>
        </w:tblBorders>
      </w:tblPr>
      <w:tblGrid>
        <w:gridCol w:w="560"/>
        <w:gridCol w:w="4600"/>
        <w:gridCol w:w="1900"/>
        <w:gridCol w:w="1100"/>
        <w:gridCol w:w="1200"/>
      </w:tblGrid>
      <w:tr>
        <w:trPr>
          <w:tblHeader/>
        </w:trPr>
        <w:tc>
          <w:tcPr>
            <w:tcW w:type="dxa" w:w="560"/>
            <w:shd w:fill="1A3255" w:color="auto" w:val="clear"/>
            <w:tcMar>
              <w:top w:type="dxa" w:w="80"/>
              <w:left w:type="dxa" w:w="100"/>
              <w:bottom w:type="dxa" w:w="80"/>
              <w:right w:type="dxa" w:w="100"/>
            </w:tcMar>
          </w:tcPr>
          <w:p>
            <w:r>
              <w:rPr>
                <w:rFonts w:ascii="Arial" w:cs="Arial" w:eastAsia="Arial" w:hAnsi="Arial"/>
                <w:b/>
                <w:bCs/>
                <w:color w:val="FFFFFF"/>
                <w:sz w:val="18"/>
                <w:szCs w:val="18"/>
              </w:rPr>
              <w:t xml:space="preserve">Nr.</w:t>
            </w:r>
          </w:p>
        </w:tc>
        <w:tc>
          <w:tcPr>
            <w:tcW w:type="dxa" w:w="4600"/>
            <w:shd w:fill="1A3255" w:color="auto" w:val="clear"/>
            <w:tcMar>
              <w:top w:type="dxa" w:w="80"/>
              <w:left w:type="dxa" w:w="100"/>
              <w:bottom w:type="dxa" w:w="80"/>
              <w:right w:type="dxa" w:w="100"/>
            </w:tcMar>
          </w:tcPr>
          <w:p>
            <w:r>
              <w:rPr>
                <w:rFonts w:ascii="Arial" w:cs="Arial" w:eastAsia="Arial" w:hAnsi="Arial"/>
                <w:b/>
                <w:bCs/>
                <w:color w:val="FFFFFF"/>
                <w:sz w:val="18"/>
                <w:szCs w:val="18"/>
              </w:rPr>
              <w:t xml:space="preserve">Anforderung nach Artikel 30 DORA (amtlicher Wortlaut)</w:t>
            </w:r>
          </w:p>
        </w:tc>
        <w:tc>
          <w:tcPr>
            <w:tcW w:type="dxa" w:w="1900"/>
            <w:shd w:fill="1A3255" w:color="auto" w:val="clear"/>
            <w:tcMar>
              <w:top w:type="dxa" w:w="80"/>
              <w:left w:type="dxa" w:w="100"/>
              <w:bottom w:type="dxa" w:w="80"/>
              <w:right w:type="dxa" w:w="100"/>
            </w:tcMar>
          </w:tcPr>
          <w:p>
            <w:r>
              <w:rPr>
                <w:rFonts w:ascii="Arial" w:cs="Arial" w:eastAsia="Arial" w:hAnsi="Arial"/>
                <w:b/>
                <w:bCs/>
                <w:color w:val="FFFFFF"/>
                <w:sz w:val="18"/>
                <w:szCs w:val="18"/>
              </w:rPr>
              <w:t xml:space="preserve">Fundstelle im Vertrag</w:t>
            </w:r>
          </w:p>
        </w:tc>
        <w:tc>
          <w:tcPr>
            <w:tcW w:type="dxa" w:w="1100"/>
            <w:shd w:fill="1A3255" w:color="auto" w:val="clear"/>
            <w:tcMar>
              <w:top w:type="dxa" w:w="80"/>
              <w:left w:type="dxa" w:w="100"/>
              <w:bottom w:type="dxa" w:w="80"/>
              <w:right w:type="dxa" w:w="100"/>
            </w:tcMar>
          </w:tcPr>
          <w:p>
            <w:r>
              <w:rPr>
                <w:rFonts w:ascii="Arial" w:cs="Arial" w:eastAsia="Arial" w:hAnsi="Arial"/>
                <w:b/>
                <w:bCs/>
                <w:color w:val="FFFFFF"/>
                <w:sz w:val="18"/>
                <w:szCs w:val="18"/>
              </w:rPr>
              <w:t xml:space="preserve">Erfüllt?</w:t>
            </w:r>
          </w:p>
        </w:tc>
        <w:tc>
          <w:tcPr>
            <w:tcW w:type="dxa" w:w="1200"/>
            <w:shd w:fill="1A3255" w:color="auto" w:val="clear"/>
            <w:tcMar>
              <w:top w:type="dxa" w:w="80"/>
              <w:left w:type="dxa" w:w="100"/>
              <w:bottom w:type="dxa" w:w="80"/>
              <w:right w:type="dxa" w:w="100"/>
            </w:tcMar>
          </w:tcPr>
          <w:p>
            <w:r>
              <w:rPr>
                <w:rFonts w:ascii="Arial" w:cs="Arial" w:eastAsia="Arial" w:hAnsi="Arial"/>
                <w:b/>
                <w:bCs/>
                <w:color w:val="FFFFFF"/>
                <w:sz w:val="18"/>
                <w:szCs w:val="18"/>
              </w:rPr>
              <w:t xml:space="preserve">Bemerkung</w:t>
            </w:r>
          </w:p>
        </w:tc>
      </w:tr>
      <w:tr>
        <w:tc>
          <w:tcPr>
            <w:tcW w:type="dxa" w:w="9360"/>
            <w:shd w:fill="F4F7FB" w:color="auto" w:val="clear"/>
            <w:tcMar>
              <w:top w:type="dxa" w:w="80"/>
              <w:left w:type="dxa" w:w="100"/>
              <w:bottom w:type="dxa" w:w="80"/>
              <w:right w:type="dxa" w:w="100"/>
            </w:tcMar>
          </w:tcPr>
          <w:p>
            <w:pPr>
              <w:spacing w:after="100" w:before="0"/>
            </w:pPr>
            <w:r>
              <w:rPr>
                <w:rFonts w:ascii="Arial" w:cs="Arial" w:eastAsia="Arial" w:hAnsi="Arial"/>
                <w:b/>
                <w:bCs/>
                <w:color w:val="1A3255"/>
                <w:sz w:val="18"/>
                <w:szCs w:val="18"/>
              </w:rPr>
              <w:t xml:space="preserve">Absatz 2 – gilt für jede vertragliche Vereinbarung über IKT-Dienstleistungen</w:t>
            </w:r>
          </w:p>
          <w:p>
            <w:pPr>
              <w:spacing w:after="100" w:before="0"/>
            </w:pPr>
            <w:r>
              <w:rPr>
                <w:rFonts w:ascii="Arial" w:cs="Arial" w:eastAsia="Arial" w:hAnsi="Arial"/>
                <w:color w:val="5B6B80"/>
                <w:sz w:val="15"/>
                <w:szCs w:val="15"/>
              </w:rPr>
              <w:t xml:space="preserve">Diese neun Elemente müssen in jedem Vertrag stehen, unabhängig von der Kritikalität.</w:t>
            </w:r>
          </w:p>
        </w:tc>
      </w:tr>
      <w:tr>
        <w:tc>
          <w:tcPr>
            <w:tcW w:type="dxa" w:w="560"/>
            <w:tcMar>
              <w:top w:type="dxa" w:w="80"/>
              <w:left w:type="dxa" w:w="100"/>
              <w:bottom w:type="dxa" w:w="80"/>
              <w:right w:type="dxa" w:w="100"/>
            </w:tcMar>
          </w:tcPr>
          <w:p>
            <w:pPr>
              <w:spacing w:after="100" w:before="0"/>
            </w:pPr>
            <w:r>
              <w:rPr>
                <w:rFonts w:ascii="Arial" w:cs="Arial" w:eastAsia="Arial" w:hAnsi="Arial"/>
                <w:b/>
                <w:bCs/>
                <w:color w:val="2F6BD8"/>
                <w:sz w:val="17"/>
                <w:szCs w:val="17"/>
              </w:rPr>
              <w:t xml:space="preserve">2a</w:t>
            </w:r>
          </w:p>
        </w:tc>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eine klare und vollständige Beschreibung aller Funktionen und IKT-Dienstleistungen, die der IKT-Drittdienstleister bereitzustellen hat, wobei anzugeben ist, ob die Vergabe von Unteraufträgen für IKT-Dienstleistungen, die kritische oder wichtige Funktionen oder wesentliche Teile davon unterstützen, zulässig ist, und – wenn dies der Fall ist – welche Bedingungen für diese Unterauftragsvergabe gelten;</w:t>
            </w:r>
          </w:p>
        </w:tc>
        <w:tc>
          <w:tcPr>
            <w:tcW w:type="dxa" w:w="19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1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2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560"/>
            <w:tcMar>
              <w:top w:type="dxa" w:w="80"/>
              <w:left w:type="dxa" w:w="100"/>
              <w:bottom w:type="dxa" w:w="80"/>
              <w:right w:type="dxa" w:w="100"/>
            </w:tcMar>
          </w:tcPr>
          <w:p>
            <w:pPr>
              <w:spacing w:after="100" w:before="0"/>
            </w:pPr>
            <w:r>
              <w:rPr>
                <w:rFonts w:ascii="Arial" w:cs="Arial" w:eastAsia="Arial" w:hAnsi="Arial"/>
                <w:b/>
                <w:bCs/>
                <w:color w:val="2F6BD8"/>
                <w:sz w:val="17"/>
                <w:szCs w:val="17"/>
              </w:rPr>
              <w:t xml:space="preserve">2b</w:t>
            </w:r>
          </w:p>
        </w:tc>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die Standorte – das heißt die Regionen oder Länder –, an denen die vertraglich vereinbarten oder an Unterauftragnehmer vergebenen Funktionen und IKT-Dienstleistungen bereitzustellen sind und an denen Daten verarbeitet werden sollen, einschließlich des Speicherorts, sowie die Auflage für den IKT-Drittdienstleister, das Finanzunternehmen vorab zu benachrichtigen, wenn er eine Änderung dieser Standorte beabsichtigt;</w:t>
            </w:r>
          </w:p>
        </w:tc>
        <w:tc>
          <w:tcPr>
            <w:tcW w:type="dxa" w:w="19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1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2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560"/>
            <w:tcMar>
              <w:top w:type="dxa" w:w="80"/>
              <w:left w:type="dxa" w:w="100"/>
              <w:bottom w:type="dxa" w:w="80"/>
              <w:right w:type="dxa" w:w="100"/>
            </w:tcMar>
          </w:tcPr>
          <w:p>
            <w:pPr>
              <w:spacing w:after="100" w:before="0"/>
            </w:pPr>
            <w:r>
              <w:rPr>
                <w:rFonts w:ascii="Arial" w:cs="Arial" w:eastAsia="Arial" w:hAnsi="Arial"/>
                <w:b/>
                <w:bCs/>
                <w:color w:val="2F6BD8"/>
                <w:sz w:val="17"/>
                <w:szCs w:val="17"/>
              </w:rPr>
              <w:t xml:space="preserve">2c</w:t>
            </w:r>
          </w:p>
        </w:tc>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Bestimmungen über Verfügbarkeit, Authentizität, Integrität und Vertraulichkeit in Bezug auf den Datenschutz, einschließlich des Schutzes personenbezogener Daten;</w:t>
            </w:r>
          </w:p>
        </w:tc>
        <w:tc>
          <w:tcPr>
            <w:tcW w:type="dxa" w:w="19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1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2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560"/>
            <w:tcMar>
              <w:top w:type="dxa" w:w="80"/>
              <w:left w:type="dxa" w:w="100"/>
              <w:bottom w:type="dxa" w:w="80"/>
              <w:right w:type="dxa" w:w="100"/>
            </w:tcMar>
          </w:tcPr>
          <w:p>
            <w:pPr>
              <w:spacing w:after="100" w:before="0"/>
            </w:pPr>
            <w:r>
              <w:rPr>
                <w:rFonts w:ascii="Arial" w:cs="Arial" w:eastAsia="Arial" w:hAnsi="Arial"/>
                <w:b/>
                <w:bCs/>
                <w:color w:val="2F6BD8"/>
                <w:sz w:val="17"/>
                <w:szCs w:val="17"/>
              </w:rPr>
              <w:t xml:space="preserve">2d</w:t>
            </w:r>
          </w:p>
        </w:tc>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Bestimmungen über die Sicherstellung des Zugangs zu personenbezogenen und nicht personenbezogenen Daten, die von dem Finanzunternehmen im Fall einer Insolvenz, Abwicklung, Einstellung der Geschäftstätigkeit des IKT-Drittdienstleisters oder einer Beendigung der vertraglichen Vereinbarungen verarbeitet werden, sowie über die Wiederherstellung und Rückgabe dieser Daten in einem leicht zugänglichen Format;</w:t>
            </w:r>
          </w:p>
        </w:tc>
        <w:tc>
          <w:tcPr>
            <w:tcW w:type="dxa" w:w="19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1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2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560"/>
            <w:tcMar>
              <w:top w:type="dxa" w:w="80"/>
              <w:left w:type="dxa" w:w="100"/>
              <w:bottom w:type="dxa" w:w="80"/>
              <w:right w:type="dxa" w:w="100"/>
            </w:tcMar>
          </w:tcPr>
          <w:p>
            <w:pPr>
              <w:spacing w:after="100" w:before="0"/>
            </w:pPr>
            <w:r>
              <w:rPr>
                <w:rFonts w:ascii="Arial" w:cs="Arial" w:eastAsia="Arial" w:hAnsi="Arial"/>
                <w:b/>
                <w:bCs/>
                <w:color w:val="2F6BD8"/>
                <w:sz w:val="17"/>
                <w:szCs w:val="17"/>
              </w:rPr>
              <w:t xml:space="preserve">2e</w:t>
            </w:r>
          </w:p>
        </w:tc>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Beschreibungen der Dienstleistungsgüte, einschließlich Aktualisierungen und Überarbeitungen;</w:t>
            </w:r>
          </w:p>
        </w:tc>
        <w:tc>
          <w:tcPr>
            <w:tcW w:type="dxa" w:w="19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1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2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560"/>
            <w:tcMar>
              <w:top w:type="dxa" w:w="80"/>
              <w:left w:type="dxa" w:w="100"/>
              <w:bottom w:type="dxa" w:w="80"/>
              <w:right w:type="dxa" w:w="100"/>
            </w:tcMar>
          </w:tcPr>
          <w:p>
            <w:pPr>
              <w:spacing w:after="100" w:before="0"/>
            </w:pPr>
            <w:r>
              <w:rPr>
                <w:rFonts w:ascii="Arial" w:cs="Arial" w:eastAsia="Arial" w:hAnsi="Arial"/>
                <w:b/>
                <w:bCs/>
                <w:color w:val="2F6BD8"/>
                <w:sz w:val="17"/>
                <w:szCs w:val="17"/>
              </w:rPr>
              <w:t xml:space="preserve">2f</w:t>
            </w:r>
          </w:p>
        </w:tc>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die Verpflichtung des IKT-Drittdienstleisters, dem Finanzunternehmen bei einem IKT-Vorfall, der mit dem für das Finanzunternehmen bereitgestellten IKT-Dienst in Verbindung steht, ohne zusätzliche Kosten oder zu vorab festzusetzenden Kosten Unterstützung zu leisten;</w:t>
            </w:r>
          </w:p>
        </w:tc>
        <w:tc>
          <w:tcPr>
            <w:tcW w:type="dxa" w:w="19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1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2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560"/>
            <w:tcMar>
              <w:top w:type="dxa" w:w="80"/>
              <w:left w:type="dxa" w:w="100"/>
              <w:bottom w:type="dxa" w:w="80"/>
              <w:right w:type="dxa" w:w="100"/>
            </w:tcMar>
          </w:tcPr>
          <w:p>
            <w:pPr>
              <w:spacing w:after="100" w:before="0"/>
            </w:pPr>
            <w:r>
              <w:rPr>
                <w:rFonts w:ascii="Arial" w:cs="Arial" w:eastAsia="Arial" w:hAnsi="Arial"/>
                <w:b/>
                <w:bCs/>
                <w:color w:val="2F6BD8"/>
                <w:sz w:val="17"/>
                <w:szCs w:val="17"/>
              </w:rPr>
              <w:t xml:space="preserve">2g</w:t>
            </w:r>
          </w:p>
        </w:tc>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die Verpflichtung des IKT-Drittdienstleisters, vollumfänglich mit den für das Finanzunternehmen zuständigen Behörden und Abwicklungsbehörden zusammenzuarbeiten, einschließlich der von diesen benannten Personen;</w:t>
            </w:r>
          </w:p>
        </w:tc>
        <w:tc>
          <w:tcPr>
            <w:tcW w:type="dxa" w:w="19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1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2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560"/>
            <w:tcMar>
              <w:top w:type="dxa" w:w="80"/>
              <w:left w:type="dxa" w:w="100"/>
              <w:bottom w:type="dxa" w:w="80"/>
              <w:right w:type="dxa" w:w="100"/>
            </w:tcMar>
          </w:tcPr>
          <w:p>
            <w:pPr>
              <w:spacing w:after="100" w:before="0"/>
            </w:pPr>
            <w:r>
              <w:rPr>
                <w:rFonts w:ascii="Arial" w:cs="Arial" w:eastAsia="Arial" w:hAnsi="Arial"/>
                <w:b/>
                <w:bCs/>
                <w:color w:val="2F6BD8"/>
                <w:sz w:val="17"/>
                <w:szCs w:val="17"/>
              </w:rPr>
              <w:t xml:space="preserve">2h</w:t>
            </w:r>
          </w:p>
        </w:tc>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Kündigungsrechte und damit zusammenhängende Mindestkündigungsfristen für die Beendigung der vertraglichen Vereinbarungen entsprechend den Erwartungen der zuständigen Behörden und der Abwicklungsbehörden;</w:t>
            </w:r>
          </w:p>
        </w:tc>
        <w:tc>
          <w:tcPr>
            <w:tcW w:type="dxa" w:w="19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1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2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560"/>
            <w:tcMar>
              <w:top w:type="dxa" w:w="80"/>
              <w:left w:type="dxa" w:w="100"/>
              <w:bottom w:type="dxa" w:w="80"/>
              <w:right w:type="dxa" w:w="100"/>
            </w:tcMar>
          </w:tcPr>
          <w:p>
            <w:pPr>
              <w:spacing w:after="100" w:before="0"/>
            </w:pPr>
            <w:r>
              <w:rPr>
                <w:rFonts w:ascii="Arial" w:cs="Arial" w:eastAsia="Arial" w:hAnsi="Arial"/>
                <w:b/>
                <w:bCs/>
                <w:color w:val="2F6BD8"/>
                <w:sz w:val="17"/>
                <w:szCs w:val="17"/>
              </w:rPr>
              <w:t xml:space="preserve">2i</w:t>
            </w:r>
          </w:p>
        </w:tc>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Bedingungen für die Teilnahme von IKT-Drittdienstleistern an den von den Finanzunternehmen angebotenen Programmen zur Sensibilisierung für IKT-Sicherheit und Schulungen zur digitalen operationalen Resilienz gemäß Artikel 13 Absatz 6.</w:t>
            </w:r>
          </w:p>
        </w:tc>
        <w:tc>
          <w:tcPr>
            <w:tcW w:type="dxa" w:w="19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1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2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9360"/>
            <w:shd w:fill="F4F7FB" w:color="auto" w:val="clear"/>
            <w:tcMar>
              <w:top w:type="dxa" w:w="80"/>
              <w:left w:type="dxa" w:w="100"/>
              <w:bottom w:type="dxa" w:w="80"/>
              <w:right w:type="dxa" w:w="100"/>
            </w:tcMar>
          </w:tcPr>
          <w:p>
            <w:pPr>
              <w:spacing w:after="100" w:before="0"/>
            </w:pPr>
            <w:r>
              <w:rPr>
                <w:rFonts w:ascii="Arial" w:cs="Arial" w:eastAsia="Arial" w:hAnsi="Arial"/>
                <w:b/>
                <w:bCs/>
                <w:color w:val="1A3255"/>
                <w:sz w:val="18"/>
                <w:szCs w:val="18"/>
              </w:rPr>
              <w:t xml:space="preserve">Absatz 3 – zusätzlich bei kritischen oder wichtigen Funktionen</w:t>
            </w:r>
          </w:p>
          <w:p>
            <w:pPr>
              <w:spacing w:after="100" w:before="0"/>
            </w:pPr>
            <w:r>
              <w:rPr>
                <w:rFonts w:ascii="Arial" w:cs="Arial" w:eastAsia="Arial" w:hAnsi="Arial"/>
                <w:color w:val="5B6B80"/>
                <w:sz w:val="15"/>
                <w:szCs w:val="15"/>
              </w:rPr>
              <w:t xml:space="preserve">Diese Elemente kommen hinzu, sobald die gestützte Funktion als kritisch oder wichtig eingestuft ist. Die Einstufung entscheidet also über den Vertragsinhalt.</w:t>
            </w:r>
          </w:p>
        </w:tc>
      </w:tr>
      <w:tr>
        <w:tc>
          <w:tcPr>
            <w:tcW w:type="dxa" w:w="560"/>
            <w:tcMar>
              <w:top w:type="dxa" w:w="80"/>
              <w:left w:type="dxa" w:w="100"/>
              <w:bottom w:type="dxa" w:w="80"/>
              <w:right w:type="dxa" w:w="100"/>
            </w:tcMar>
          </w:tcPr>
          <w:p>
            <w:pPr>
              <w:spacing w:after="100" w:before="0"/>
            </w:pPr>
            <w:r>
              <w:rPr>
                <w:rFonts w:ascii="Arial" w:cs="Arial" w:eastAsia="Arial" w:hAnsi="Arial"/>
                <w:b/>
                <w:bCs/>
                <w:color w:val="2F6BD8"/>
                <w:sz w:val="17"/>
                <w:szCs w:val="17"/>
              </w:rPr>
              <w:t xml:space="preserve">3a</w:t>
            </w:r>
          </w:p>
        </w:tc>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vollständige Beschreibungen der Dienstleistungsgüte, einschließlich Aktualisierungen und Überarbeitungen, mit präzisen quantitativen und qualitativen Leistungszielen innerhalb der vereinbarten Dienstleistungsgüte, um dem Finanzunternehmen eine wirksame Überwachung von IKT-Dienstleistungen und das unverzügliche Ergreifen angemessener Korrekturmaßnahmen zu ermöglichen, wenn eine vereinbarte Dienstleistungsgüte nicht erreicht wird;</w:t>
            </w:r>
          </w:p>
        </w:tc>
        <w:tc>
          <w:tcPr>
            <w:tcW w:type="dxa" w:w="19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1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2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560"/>
            <w:tcMar>
              <w:top w:type="dxa" w:w="80"/>
              <w:left w:type="dxa" w:w="100"/>
              <w:bottom w:type="dxa" w:w="80"/>
              <w:right w:type="dxa" w:w="100"/>
            </w:tcMar>
          </w:tcPr>
          <w:p>
            <w:pPr>
              <w:spacing w:after="100" w:before="0"/>
            </w:pPr>
            <w:r>
              <w:rPr>
                <w:rFonts w:ascii="Arial" w:cs="Arial" w:eastAsia="Arial" w:hAnsi="Arial"/>
                <w:b/>
                <w:bCs/>
                <w:color w:val="2F6BD8"/>
                <w:sz w:val="17"/>
                <w:szCs w:val="17"/>
              </w:rPr>
              <w:t xml:space="preserve">3b</w:t>
            </w:r>
          </w:p>
        </w:tc>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Kündigungsfristen und Berichtspflichten des IKT-Drittdienstleisters gegenüber dem Finanzunternehmen, einschließlich der Meldung aller Entwicklungen, die sich wesentlich auf die Fähigkeit des IKT-Drittdienstleisters, IKT-Dienstleistungen zur Unterstützung kritischer oder wichtiger Funktionen gemäß den vereinbarten Leistungsniveaus wirksam bereitzustellen, auswirken könnten;</w:t>
            </w:r>
          </w:p>
        </w:tc>
        <w:tc>
          <w:tcPr>
            <w:tcW w:type="dxa" w:w="19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1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2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560"/>
            <w:tcMar>
              <w:top w:type="dxa" w:w="80"/>
              <w:left w:type="dxa" w:w="100"/>
              <w:bottom w:type="dxa" w:w="80"/>
              <w:right w:type="dxa" w:w="100"/>
            </w:tcMar>
          </w:tcPr>
          <w:p>
            <w:pPr>
              <w:spacing w:after="100" w:before="0"/>
            </w:pPr>
            <w:r>
              <w:rPr>
                <w:rFonts w:ascii="Arial" w:cs="Arial" w:eastAsia="Arial" w:hAnsi="Arial"/>
                <w:b/>
                <w:bCs/>
                <w:color w:val="2F6BD8"/>
                <w:sz w:val="17"/>
                <w:szCs w:val="17"/>
              </w:rPr>
              <w:t xml:space="preserve">3c</w:t>
            </w:r>
          </w:p>
        </w:tc>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Anforderungen an den IKT-Drittdienstleister, Notfallpläne zu implementieren und zu testen und über Maßnahmen, Tools und Leit- und Richtlinien für IKT-Sicherheit zu verfügen, die ein angemessenes Maß an Sicherheit für die Erbringung von Dienstleistungen durch das Finanzunternehmen im Einklang mit seinem Rechtsrahmen bieten;</w:t>
            </w:r>
          </w:p>
        </w:tc>
        <w:tc>
          <w:tcPr>
            <w:tcW w:type="dxa" w:w="19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1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2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560"/>
            <w:tcMar>
              <w:top w:type="dxa" w:w="80"/>
              <w:left w:type="dxa" w:w="100"/>
              <w:bottom w:type="dxa" w:w="80"/>
              <w:right w:type="dxa" w:w="100"/>
            </w:tcMar>
          </w:tcPr>
          <w:p>
            <w:pPr>
              <w:spacing w:after="100" w:before="0"/>
            </w:pPr>
            <w:r>
              <w:rPr>
                <w:rFonts w:ascii="Arial" w:cs="Arial" w:eastAsia="Arial" w:hAnsi="Arial"/>
                <w:b/>
                <w:bCs/>
                <w:color w:val="2F6BD8"/>
                <w:sz w:val="17"/>
                <w:szCs w:val="17"/>
              </w:rPr>
              <w:t xml:space="preserve">3d</w:t>
            </w:r>
          </w:p>
        </w:tc>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die Verpflichtung des IKT-Drittdienstleisters, sich an den in den Artikeln 26 und 27 genannten TLPT des Finanzunternehmens zu beteiligen und uneingeschränkt daran mitzuwirken;</w:t>
            </w:r>
          </w:p>
        </w:tc>
        <w:tc>
          <w:tcPr>
            <w:tcW w:type="dxa" w:w="19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1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2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560"/>
            <w:tcMar>
              <w:top w:type="dxa" w:w="80"/>
              <w:left w:type="dxa" w:w="100"/>
              <w:bottom w:type="dxa" w:w="80"/>
              <w:right w:type="dxa" w:w="100"/>
            </w:tcMar>
          </w:tcPr>
          <w:p>
            <w:pPr>
              <w:spacing w:after="100" w:before="0"/>
            </w:pPr>
            <w:r>
              <w:rPr>
                <w:rFonts w:ascii="Arial" w:cs="Arial" w:eastAsia="Arial" w:hAnsi="Arial"/>
                <w:b/>
                <w:bCs/>
                <w:color w:val="2F6BD8"/>
                <w:sz w:val="17"/>
                <w:szCs w:val="17"/>
              </w:rPr>
              <w:t xml:space="preserve">3e</w:t>
            </w:r>
          </w:p>
        </w:tc>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das Recht, die Leistung des IKT-Drittdienstleisters fortlaufend zu überwachen, wozu Folgendes gehört:</w:t>
            </w:r>
          </w:p>
          <w:p>
            <w:pPr>
              <w:spacing w:after="100" w:before="0"/>
            </w:pPr>
            <w:r>
              <w:rPr>
                <w:rFonts w:ascii="Arial" w:cs="Arial" w:eastAsia="Arial" w:hAnsi="Arial"/>
                <w:color w:val="000000"/>
                <w:sz w:val="16"/>
                <w:szCs w:val="16"/>
              </w:rPr>
              <w:t xml:space="preserve">     i)  uneingeschränkte Zugangs-, Inspektions- und Auditrechte des Finanzunternehmens oder eines beauftragten Dritten und der zuständigen Behörde sowie das Recht auf Anfertigung von Kopien einschlägiger Unterlagen vor Ort, wenn ihnen für die Geschäftstätigkeit des IKT-Drittdienstleisters entscheidende Bedeutung zukommt, wobei die tatsächliche Ausübung dieser Rechte nicht durch andere vertragliche Vereinbarungen oder Umsetzungsrichtlinien behindert oder eingeschränkt wird;</w:t>
            </w:r>
          </w:p>
          <w:p>
            <w:pPr>
              <w:spacing w:after="100" w:before="0"/>
            </w:pPr>
            <w:r>
              <w:rPr>
                <w:rFonts w:ascii="Arial" w:cs="Arial" w:eastAsia="Arial" w:hAnsi="Arial"/>
                <w:color w:val="000000"/>
                <w:sz w:val="16"/>
                <w:szCs w:val="16"/>
              </w:rPr>
              <w:t xml:space="preserve">     ii)  das Recht, alternative Bestätigungsniveaus zu vereinbaren, wenn die Rechte anderer Kunden betroffen sind;</w:t>
            </w:r>
          </w:p>
          <w:p>
            <w:pPr>
              <w:spacing w:after="100" w:before="0"/>
            </w:pPr>
            <w:r>
              <w:rPr>
                <w:rFonts w:ascii="Arial" w:cs="Arial" w:eastAsia="Arial" w:hAnsi="Arial"/>
                <w:color w:val="000000"/>
                <w:sz w:val="16"/>
                <w:szCs w:val="16"/>
              </w:rPr>
              <w:t xml:space="preserve">     iii)  die Verpflichtung des IKT-Drittdienstleisters zur uneingeschränkten Zusammenarbeit bei Vor-Ort-Inspektionen und Audits, die von den zuständigen Behörden, der federführenden Überwachungsbehörde, dem Finanzunternehmen oder einem beauftragten Dritten durchgeführt werden; und</w:t>
            </w:r>
          </w:p>
          <w:p>
            <w:pPr>
              <w:spacing w:after="100" w:before="0"/>
            </w:pPr>
            <w:r>
              <w:rPr>
                <w:rFonts w:ascii="Arial" w:cs="Arial" w:eastAsia="Arial" w:hAnsi="Arial"/>
                <w:color w:val="000000"/>
                <w:sz w:val="16"/>
                <w:szCs w:val="16"/>
              </w:rPr>
              <w:t xml:space="preserve">     iv)  die Verpflichtung, Einzelheiten zu Umfang und Häufigkeit dieser Inspektionen sowie dem dabei zu befolgenden Verfahren mitzuteilen;</w:t>
            </w:r>
          </w:p>
        </w:tc>
        <w:tc>
          <w:tcPr>
            <w:tcW w:type="dxa" w:w="19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1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2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560"/>
            <w:tcMar>
              <w:top w:type="dxa" w:w="80"/>
              <w:left w:type="dxa" w:w="100"/>
              <w:bottom w:type="dxa" w:w="80"/>
              <w:right w:type="dxa" w:w="100"/>
            </w:tcMar>
          </w:tcPr>
          <w:p>
            <w:pPr>
              <w:spacing w:after="100" w:before="0"/>
            </w:pPr>
            <w:r>
              <w:rPr>
                <w:rFonts w:ascii="Arial" w:cs="Arial" w:eastAsia="Arial" w:hAnsi="Arial"/>
                <w:b/>
                <w:bCs/>
                <w:color w:val="2F6BD8"/>
                <w:sz w:val="17"/>
                <w:szCs w:val="17"/>
              </w:rPr>
              <w:t xml:space="preserve">3f</w:t>
            </w:r>
          </w:p>
        </w:tc>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Ausstiegsstrategien, insbesondere die Festlegung eines verbindlichen angemessenen Übergangszeitraums,</w:t>
            </w:r>
          </w:p>
          <w:p>
            <w:pPr>
              <w:spacing w:after="100" w:before="0"/>
            </w:pPr>
            <w:r>
              <w:rPr>
                <w:rFonts w:ascii="Arial" w:cs="Arial" w:eastAsia="Arial" w:hAnsi="Arial"/>
                <w:color w:val="000000"/>
                <w:sz w:val="16"/>
                <w:szCs w:val="16"/>
              </w:rPr>
              <w:t xml:space="preserve">     i)  in dem der IKT-Drittdienstleister weiterhin die entsprechenden Funktionen oder IKT-Dienstleistungen bereitstellt, um das Risiko von Störungen im Finanzunternehmen zu verringern oder um dessen geordnete Abwicklung und Umstrukturierung sicherzustellen;</w:t>
            </w:r>
          </w:p>
          <w:p>
            <w:pPr>
              <w:spacing w:after="100" w:before="0"/>
            </w:pPr>
            <w:r>
              <w:rPr>
                <w:rFonts w:ascii="Arial" w:cs="Arial" w:eastAsia="Arial" w:hAnsi="Arial"/>
                <w:color w:val="000000"/>
                <w:sz w:val="16"/>
                <w:szCs w:val="16"/>
              </w:rPr>
              <w:t xml:space="preserve">     ii)  der dem Finanzunternehmen ermöglicht, zu einem anderen IKT-Drittdienstleister zu wechseln oder auf interne Lösungen umzustellen, die der Komplexität der erbrachten Dienstleistung entsprechen.</w:t>
            </w:r>
          </w:p>
        </w:tc>
        <w:tc>
          <w:tcPr>
            <w:tcW w:type="dxa" w:w="19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1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c>
          <w:tcPr>
            <w:tcW w:type="dxa" w:w="120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bl>
    <w:p>
      <w:pPr>
        <w:pStyle w:val="Heading2"/>
        <w:spacing w:after="100" w:before="240"/>
      </w:pPr>
      <w:r>
        <w:rPr>
          <w:rFonts w:ascii="Arial" w:cs="Arial" w:eastAsia="Arial" w:hAnsi="Arial"/>
          <w:b/>
          <w:bCs/>
          <w:color w:val="1A3255"/>
          <w:sz w:val="23"/>
          <w:szCs w:val="23"/>
        </w:rPr>
        <w:t xml:space="preserve">Quelle und Haftung</w:t>
      </w:r>
    </w:p>
    <w:p>
      <w:pPr>
        <w:spacing w:after="100" w:before="200"/>
      </w:pPr>
      <w:r>
        <w:rPr>
          <w:rFonts w:ascii="Arial" w:cs="Arial" w:eastAsia="Arial" w:hAnsi="Arial"/>
          <w:color w:val="5B6B80"/>
          <w:sz w:val="15"/>
          <w:szCs w:val="15"/>
        </w:rPr>
        <w:t xml:space="preserve">Der Anforderungstext stammt wörtlich aus Artikel 30 Absätze 2 und 3 der Verordnung (EU) 2022/2554 (ABl. L 333 vom 27.12.2022). Ergänzend zur Untervergabe: Delegierte Verordnung (EU) 2025/532.</w:t>
      </w:r>
    </w:p>
    <w:p>
      <w:pPr>
        <w:spacing w:after="100" w:before="200"/>
      </w:pPr>
      <w:r>
        <w:rPr>
          <w:rFonts w:ascii="Arial" w:cs="Arial" w:eastAsia="Arial" w:hAnsi="Arial"/>
          <w:color w:val="5B6B80"/>
          <w:sz w:val="15"/>
          <w:szCs w:val="15"/>
        </w:rPr>
        <w:t xml:space="preserve">Diese Vorlage ist eine fachliche Arbeitshilfe und ersetzt keine Prüfung des Einzelfalls. Verbindlich ist allein der im Amtsblatt der Europäischen Union veröffentlichte Wortlaut. Sie dürfen die Vorlage in Ihrem Haus verwenden, anpassen und intern weitergeben; eine Weitergabe als eigene Leistung an Dritte ist nicht gestattet.</w:t>
      </w:r>
    </w:p>
    <w:sectPr>
      <w:headerReference w:type="default" r:id="rId7"/>
      <w:footerReference w:type="default" r:id="rId8"/>
      <w:pgSz w:w="11906" w:h="16838" w:orient="portrait"/>
      <w:pgMar w:top="11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Arial" w:cs="Arial" w:eastAsia="Arial" w:hAnsi="Arial"/>
        <w:color w:val="5B6B80"/>
        <w:sz w:val="15"/>
        <w:szCs w:val="15"/>
      </w:rPr>
      <w:t xml:space="preserve">dora-manager.de · Prüfliste Artikel 30 · Stand 28.09.2026 · Seite </w:t>
    </w:r>
    <w:r>
      <w:rPr>
        <w:rFonts w:ascii="Arial" w:cs="Arial" w:eastAsia="Arial" w:hAnsi="Arial"/>
        <w:color w:val="5B6B8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BD5E1" w:sz="6" w:space="6"/>
      </w:pBdr>
      <w:spacing w:after="180"/>
    </w:pPr>
    <w:r>
      <w:rPr>
        <w:rFonts w:ascii="Arial" w:cs="Arial" w:eastAsia="Arial" w:hAnsi="Arial"/>
        <w:color w:val="5B6B80"/>
        <w:sz w:val="16"/>
        <w:szCs w:val="16"/>
      </w:rPr>
      <w:t xml:space="preserve">Prüfliste Pflichtinhalte nach Artikel 30 DORA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59"/>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compliance-experts e. K.</Company>
  <Manager>Björn Birenti</Manager>
</Properties>
</file>

<file path=docProps/core.xml><?xml version="1.0" encoding="utf-8"?>
<cp:coreProperties xmlns:cp="http://schemas.openxmlformats.org/package/2006/metadata/core-properties" xmlns:dc="http://purl.org/dc/elements/1.1/" xmlns:dcterms="http://purl.org/dc/terms/" xmlns:dcmitype="http://purl.org/dcmitype/" xmlns:xsi="http://www.w3.org/2001/XMLSchema-instance">
  <dc:title>Prüfliste Pflichtinhalte nach Artikel 30 DORA</dc:title>
  <dc:subject>Verordnung (EU) 2022/2554 (DORA)</dc:subject>
  <dc:creator>Björn Birenti</dc:creator>
  <cp:keywords>DORA; Artikel 30; Vertrag; Pflichtinhalte</cp:keywords>
  <dc:description>Die Pflichtinhalte eines Vertrags über IKT-Dienstleistungen nach Artikel 30 DORA, Buchstabe für Buchstabe zum Abhaken.</dc:description>
  <cp:lastModifiedBy>Björn Birenti</cp:lastModifiedBy>
  <cp:revision>1</cp:revision>
  <dcterms:created xsi:type="dcterms:W3CDTF">2026-09-28T15:35:57Z</dcterms:created>
  <dcterms:modified xsi:type="dcterms:W3CDTF">2026-10-03T15:30:48Z</dcterms:modified>
  <dc:language>de-DE</dc:language>
</cp:coreProperties>
</file>

<file path=docProps/custom.xml><?xml version="1.0" encoding="utf-8"?>
<Properties xmlns="http://schemas.openxmlformats.org/officeDocument/2006/custom-properties" xmlns:vt="http://schemas.openxmlformats.org/officeDocument/2006/docPropsVTypes"/>
</file>