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40"/>
      </w:pPr>
      <w:r>
        <w:rPr>
          <w:rFonts w:ascii="Arial" w:cs="Arial" w:eastAsia="Arial" w:hAnsi="Arial"/>
          <w:b/>
          <w:bCs/>
          <w:color w:val="1A3255"/>
          <w:sz w:val="30"/>
          <w:szCs w:val="30"/>
        </w:rPr>
        <w:t xml:space="preserve">Vorabbewertung vor Vertragsschluss</w:t>
      </w:r>
    </w:p>
    <w:p>
      <w:pPr>
        <w:spacing w:after="200" w:before="0"/>
      </w:pPr>
      <w:r>
        <w:rPr>
          <w:rFonts w:ascii="Arial" w:cs="Arial" w:eastAsia="Arial" w:hAnsi="Arial"/>
          <w:color w:val="5B6B80"/>
          <w:sz w:val="22"/>
          <w:szCs w:val="22"/>
        </w:rPr>
        <w:t xml:space="preserve">Artikel 28 Absatz 4 der Verordnung (EU) 2022/2554 (DORA)</w:t>
      </w:r>
    </w:p>
    <w:tbl>
      <w:tblPr>
        <w:tblW w:type="dxa" w:w="9360"/>
        <w:tblBorders>
          <w:top w:val="single" w:color="CBD5E1" w:sz="4"/>
          <w:left w:val="single" w:color="CBD5E1" w:sz="4"/>
          <w:bottom w:val="single" w:color="CBD5E1" w:sz="4"/>
          <w:right w:val="single" w:color="CBD5E1" w:sz="4"/>
          <w:insideH w:val="single" w:color="auto" w:sz="4"/>
          <w:insideV w:val="single" w:color="auto" w:sz="4"/>
        </w:tblBorders>
      </w:tblPr>
      <w:tblGrid>
        <w:gridCol w:w="3000"/>
        <w:gridCol w:w="6360"/>
      </w:tblGrid>
      <w:tr>
        <w:tc>
          <w:tcPr>
            <w:tcW w:type="dxa" w:w="3000"/>
            <w:shd w:fill="F4F7FB" w:color="auto" w:val="clear"/>
            <w:tcMar>
              <w:top w:type="dxa" w:w="80"/>
              <w:left w:type="dxa" w:w="100"/>
              <w:bottom w:type="dxa" w:w="80"/>
              <w:right w:type="dxa" w:w="100"/>
            </w:tcMar>
          </w:tcPr>
          <w:p>
            <w:pPr>
              <w:spacing w:after="100" w:before="0"/>
            </w:pPr>
            <w:r>
              <w:rPr>
                <w:rFonts w:ascii="Arial" w:cs="Arial" w:eastAsia="Arial" w:hAnsi="Arial"/>
                <w:b/>
                <w:bCs/>
                <w:color w:val="1A3255"/>
                <w:sz w:val="18"/>
                <w:szCs w:val="18"/>
              </w:rPr>
              <w:t xml:space="preserve">Geplanter Dienstleister</w:t>
            </w:r>
          </w:p>
        </w:tc>
        <w:tc>
          <w:tcPr>
            <w:tcW w:type="dxa" w:w="6360"/>
            <w:shd w:fill="FFF3C4" w:color="auto" w:val="clear"/>
            <w:tcMar>
              <w:top w:type="dxa" w:w="80"/>
              <w:left w:type="dxa" w:w="100"/>
              <w:bottom w:type="dxa" w:w="80"/>
              <w:right w:type="dxa" w:w="100"/>
            </w:tcMar>
          </w:tcPr>
          <w:p>
            <w:pPr>
              <w:spacing w:after="100" w:before="0"/>
            </w:pPr>
            <w:r>
              <w:rPr>
                <w:rFonts w:ascii="Arial" w:cs="Arial" w:eastAsia="Arial" w:hAnsi="Arial"/>
                <w:color w:val="000000"/>
                <w:sz w:val="20"/>
                <w:szCs w:val="20"/>
              </w:rPr>
              <w:t xml:space="preserve"/>
            </w:r>
          </w:p>
        </w:tc>
      </w:tr>
      <w:tr>
        <w:tc>
          <w:tcPr>
            <w:tcW w:type="dxa" w:w="3000"/>
            <w:shd w:fill="F4F7FB" w:color="auto" w:val="clear"/>
            <w:tcMar>
              <w:top w:type="dxa" w:w="80"/>
              <w:left w:type="dxa" w:w="100"/>
              <w:bottom w:type="dxa" w:w="80"/>
              <w:right w:type="dxa" w:w="100"/>
            </w:tcMar>
          </w:tcPr>
          <w:p>
            <w:pPr>
              <w:spacing w:after="100" w:before="0"/>
            </w:pPr>
            <w:r>
              <w:rPr>
                <w:rFonts w:ascii="Arial" w:cs="Arial" w:eastAsia="Arial" w:hAnsi="Arial"/>
                <w:b/>
                <w:bCs/>
                <w:color w:val="1A3255"/>
                <w:sz w:val="18"/>
                <w:szCs w:val="18"/>
              </w:rPr>
              <w:t xml:space="preserve">Geplante IKT-Dienstleistung</w:t>
            </w:r>
          </w:p>
        </w:tc>
        <w:tc>
          <w:tcPr>
            <w:tcW w:type="dxa" w:w="6360"/>
            <w:shd w:fill="FFF3C4" w:color="auto" w:val="clear"/>
            <w:tcMar>
              <w:top w:type="dxa" w:w="80"/>
              <w:left w:type="dxa" w:w="100"/>
              <w:bottom w:type="dxa" w:w="80"/>
              <w:right w:type="dxa" w:w="100"/>
            </w:tcMar>
          </w:tcPr>
          <w:p>
            <w:pPr>
              <w:spacing w:after="100" w:before="0"/>
            </w:pPr>
            <w:r>
              <w:rPr>
                <w:rFonts w:ascii="Arial" w:cs="Arial" w:eastAsia="Arial" w:hAnsi="Arial"/>
                <w:color w:val="000000"/>
                <w:sz w:val="20"/>
                <w:szCs w:val="20"/>
              </w:rPr>
              <w:t xml:space="preserve"/>
            </w:r>
          </w:p>
        </w:tc>
      </w:tr>
      <w:tr>
        <w:tc>
          <w:tcPr>
            <w:tcW w:type="dxa" w:w="3000"/>
            <w:shd w:fill="F4F7FB" w:color="auto" w:val="clear"/>
            <w:tcMar>
              <w:top w:type="dxa" w:w="80"/>
              <w:left w:type="dxa" w:w="100"/>
              <w:bottom w:type="dxa" w:w="80"/>
              <w:right w:type="dxa" w:w="100"/>
            </w:tcMar>
          </w:tcPr>
          <w:p>
            <w:pPr>
              <w:spacing w:after="100" w:before="0"/>
            </w:pPr>
            <w:r>
              <w:rPr>
                <w:rFonts w:ascii="Arial" w:cs="Arial" w:eastAsia="Arial" w:hAnsi="Arial"/>
                <w:b/>
                <w:bCs/>
                <w:color w:val="1A3255"/>
                <w:sz w:val="18"/>
                <w:szCs w:val="18"/>
              </w:rPr>
              <w:t xml:space="preserve">Betroffene Funktion</w:t>
            </w:r>
          </w:p>
        </w:tc>
        <w:tc>
          <w:tcPr>
            <w:tcW w:type="dxa" w:w="6360"/>
            <w:shd w:fill="FFF3C4" w:color="auto" w:val="clear"/>
            <w:tcMar>
              <w:top w:type="dxa" w:w="80"/>
              <w:left w:type="dxa" w:w="100"/>
              <w:bottom w:type="dxa" w:w="80"/>
              <w:right w:type="dxa" w:w="100"/>
            </w:tcMar>
          </w:tcPr>
          <w:p>
            <w:pPr>
              <w:spacing w:after="100" w:before="0"/>
            </w:pPr>
            <w:r>
              <w:rPr>
                <w:rFonts w:ascii="Arial" w:cs="Arial" w:eastAsia="Arial" w:hAnsi="Arial"/>
                <w:color w:val="000000"/>
                <w:sz w:val="20"/>
                <w:szCs w:val="20"/>
              </w:rPr>
              <w:t xml:space="preserve"/>
            </w:r>
          </w:p>
        </w:tc>
      </w:tr>
      <w:tr>
        <w:tc>
          <w:tcPr>
            <w:tcW w:type="dxa" w:w="3000"/>
            <w:shd w:fill="F4F7FB" w:color="auto" w:val="clear"/>
            <w:tcMar>
              <w:top w:type="dxa" w:w="80"/>
              <w:left w:type="dxa" w:w="100"/>
              <w:bottom w:type="dxa" w:w="80"/>
              <w:right w:type="dxa" w:w="100"/>
            </w:tcMar>
          </w:tcPr>
          <w:p>
            <w:pPr>
              <w:spacing w:after="100" w:before="0"/>
            </w:pPr>
            <w:r>
              <w:rPr>
                <w:rFonts w:ascii="Arial" w:cs="Arial" w:eastAsia="Arial" w:hAnsi="Arial"/>
                <w:b/>
                <w:bCs/>
                <w:color w:val="1A3255"/>
                <w:sz w:val="18"/>
                <w:szCs w:val="18"/>
              </w:rPr>
              <w:t xml:space="preserve">Bewertet von</w:t>
            </w:r>
          </w:p>
        </w:tc>
        <w:tc>
          <w:tcPr>
            <w:tcW w:type="dxa" w:w="6360"/>
            <w:shd w:fill="FFF3C4" w:color="auto" w:val="clear"/>
            <w:tcMar>
              <w:top w:type="dxa" w:w="80"/>
              <w:left w:type="dxa" w:w="100"/>
              <w:bottom w:type="dxa" w:w="80"/>
              <w:right w:type="dxa" w:w="100"/>
            </w:tcMar>
          </w:tcPr>
          <w:p>
            <w:pPr>
              <w:spacing w:after="100" w:before="0"/>
            </w:pPr>
            <w:r>
              <w:rPr>
                <w:rFonts w:ascii="Arial" w:cs="Arial" w:eastAsia="Arial" w:hAnsi="Arial"/>
                <w:color w:val="000000"/>
                <w:sz w:val="20"/>
                <w:szCs w:val="20"/>
              </w:rPr>
              <w:t xml:space="preserve"/>
            </w:r>
          </w:p>
        </w:tc>
      </w:tr>
      <w:tr>
        <w:tc>
          <w:tcPr>
            <w:tcW w:type="dxa" w:w="3000"/>
            <w:shd w:fill="F4F7FB" w:color="auto" w:val="clear"/>
            <w:tcMar>
              <w:top w:type="dxa" w:w="80"/>
              <w:left w:type="dxa" w:w="100"/>
              <w:bottom w:type="dxa" w:w="80"/>
              <w:right w:type="dxa" w:w="100"/>
            </w:tcMar>
          </w:tcPr>
          <w:p>
            <w:pPr>
              <w:spacing w:after="100" w:before="0"/>
            </w:pPr>
            <w:r>
              <w:rPr>
                <w:rFonts w:ascii="Arial" w:cs="Arial" w:eastAsia="Arial" w:hAnsi="Arial"/>
                <w:b/>
                <w:bCs/>
                <w:color w:val="1A3255"/>
                <w:sz w:val="18"/>
                <w:szCs w:val="18"/>
              </w:rPr>
              <w:t xml:space="preserve">Datum</w:t>
            </w:r>
          </w:p>
        </w:tc>
        <w:tc>
          <w:tcPr>
            <w:tcW w:type="dxa" w:w="6360"/>
            <w:shd w:fill="FFF3C4" w:color="auto" w:val="clear"/>
            <w:tcMar>
              <w:top w:type="dxa" w:w="80"/>
              <w:left w:type="dxa" w:w="100"/>
              <w:bottom w:type="dxa" w:w="80"/>
              <w:right w:type="dxa" w:w="100"/>
            </w:tcMar>
          </w:tcPr>
          <w:p>
            <w:pPr>
              <w:spacing w:after="100" w:before="0"/>
            </w:pPr>
            <w:r>
              <w:rPr>
                <w:rFonts w:ascii="Arial" w:cs="Arial" w:eastAsia="Arial" w:hAnsi="Arial"/>
                <w:color w:val="000000"/>
                <w:sz w:val="20"/>
                <w:szCs w:val="20"/>
              </w:rPr>
              <w:t xml:space="preserve"/>
            </w:r>
          </w:p>
        </w:tc>
      </w:tr>
      <w:tr>
        <w:tc>
          <w:tcPr>
            <w:tcW w:type="dxa" w:w="3000"/>
            <w:shd w:fill="F4F7FB" w:color="auto" w:val="clear"/>
            <w:tcMar>
              <w:top w:type="dxa" w:w="80"/>
              <w:left w:type="dxa" w:w="100"/>
              <w:bottom w:type="dxa" w:w="80"/>
              <w:right w:type="dxa" w:w="100"/>
            </w:tcMar>
          </w:tcPr>
          <w:p>
            <w:pPr>
              <w:spacing w:after="100" w:before="0"/>
            </w:pPr>
            <w:r>
              <w:rPr>
                <w:rFonts w:ascii="Arial" w:cs="Arial" w:eastAsia="Arial" w:hAnsi="Arial"/>
                <w:b/>
                <w:bCs/>
                <w:color w:val="1A3255"/>
                <w:sz w:val="18"/>
                <w:szCs w:val="18"/>
              </w:rPr>
              <w:t xml:space="preserve">Entscheidung (Freigabe / Auflagen / Ablehnung)</w:t>
            </w:r>
          </w:p>
        </w:tc>
        <w:tc>
          <w:tcPr>
            <w:tcW w:type="dxa" w:w="6360"/>
            <w:shd w:fill="FFF3C4" w:color="auto" w:val="clear"/>
            <w:tcMar>
              <w:top w:type="dxa" w:w="80"/>
              <w:left w:type="dxa" w:w="100"/>
              <w:bottom w:type="dxa" w:w="80"/>
              <w:right w:type="dxa" w:w="100"/>
            </w:tcMar>
          </w:tcPr>
          <w:p>
            <w:pPr>
              <w:spacing w:after="100" w:before="0"/>
            </w:pPr>
            <w:r>
              <w:rPr>
                <w:rFonts w:ascii="Arial" w:cs="Arial" w:eastAsia="Arial" w:hAnsi="Arial"/>
                <w:color w:val="000000"/>
                <w:sz w:val="20"/>
                <w:szCs w:val="20"/>
              </w:rPr>
              <w:t xml:space="preserve"/>
            </w:r>
          </w:p>
        </w:tc>
      </w:tr>
    </w:tbl>
    <w:p>
      <w:pPr>
        <w:pStyle w:val="Heading2"/>
        <w:spacing w:after="100" w:before="240"/>
      </w:pPr>
      <w:r>
        <w:rPr>
          <w:rFonts w:ascii="Arial" w:cs="Arial" w:eastAsia="Arial" w:hAnsi="Arial"/>
          <w:b/>
          <w:bCs/>
          <w:color w:val="1A3255"/>
          <w:sz w:val="23"/>
          <w:szCs w:val="23"/>
        </w:rPr>
        <w:t xml:space="preserve">Wozu dieser Bogen dient</w:t>
      </w:r>
    </w:p>
    <w:p>
      <w:pPr>
        <w:spacing w:after="100" w:before="0"/>
      </w:pPr>
      <w:r>
        <w:rPr>
          <w:rFonts w:ascii="Arial" w:cs="Arial" w:eastAsia="Arial" w:hAnsi="Arial"/>
          <w:color w:val="000000"/>
          <w:sz w:val="20"/>
          <w:szCs w:val="20"/>
        </w:rPr>
        <w:t xml:space="preserve">Vor Abschluss einer vertraglichen Vereinbarung über IKT-Dienstleistungen verlangt Artikel 28 Absatz 4 DORA fünf Prüfungen. Dieser Bogen führt sie in der Reihenfolge, in der sie sinnvoll aufeinander aufbauen, und hält das Ergebnis so fest, dass es in einer Prüfung trägt.</w:t>
      </w:r>
    </w:p>
    <w:p>
      <w:pPr>
        <w:spacing w:after="200" w:before="0"/>
      </w:pPr>
      <w:r>
        <w:rPr>
          <w:rFonts w:ascii="Arial" w:cs="Arial" w:eastAsia="Arial" w:hAnsi="Arial"/>
          <w:color w:val="000000"/>
          <w:sz w:val="20"/>
          <w:szCs w:val="20"/>
        </w:rPr>
        <w:t xml:space="preserve">Ein leeres Feld ist kein Nachweis. Wo Sie zu einem Punkt nichts zu sagen haben, schreiben Sie hin, warum – das ist ebenfalls ein Ergebnis und schützt Sie besser als eine Lücke.</w:t>
      </w:r>
    </w:p>
    <w:p>
      <w:pPr>
        <w:pStyle w:val="Heading2"/>
        <w:spacing w:after="100" w:before="240"/>
      </w:pPr>
      <w:r>
        <w:rPr>
          <w:rFonts w:ascii="Arial" w:cs="Arial" w:eastAsia="Arial" w:hAnsi="Arial"/>
          <w:b/>
          <w:bCs/>
          <w:color w:val="1A3255"/>
          <w:sz w:val="23"/>
          <w:szCs w:val="23"/>
        </w:rPr>
        <w:t xml:space="preserve">Die fünf Prüfungen</w:t>
      </w:r>
    </w:p>
    <w:p>
      <w:pPr>
        <w:spacing w:after="60" w:before="200"/>
      </w:pPr>
      <w:r>
        <w:rPr>
          <w:rFonts w:ascii="Arial" w:cs="Arial" w:eastAsia="Arial" w:hAnsi="Arial"/>
          <w:b/>
          <w:bCs/>
          <w:color w:val="2F6BD8"/>
          <w:sz w:val="20"/>
          <w:szCs w:val="20"/>
        </w:rPr>
        <w:t xml:space="preserve">Artikel 28 Absatz 4 Buchstabe a – </w:t>
      </w:r>
      <w:r>
        <w:rPr>
          <w:rFonts w:ascii="Arial" w:cs="Arial" w:eastAsia="Arial" w:hAnsi="Arial"/>
          <w:b/>
          <w:bCs/>
          <w:color w:val="1A3255"/>
          <w:sz w:val="20"/>
          <w:szCs w:val="20"/>
        </w:rPr>
        <w:t xml:space="preserve">beurteilen, ob sich die vertragliche Vereinbarung auf die Nutzung von IKT-Dienstleistungen zur Unterstützung einer kritischen oder wichtigen Funktion bezieht;</w:t>
      </w:r>
    </w:p>
    <w:p>
      <w:pPr>
        <w:spacing w:after="100" w:before="0"/>
      </w:pPr>
      <w:r>
        <w:rPr>
          <w:rFonts w:ascii="Arial" w:cs="Arial" w:eastAsia="Arial" w:hAnsi="Arial"/>
          <w:i/>
          <w:iCs/>
          <w:color w:val="5B6B80"/>
          <w:sz w:val="17"/>
          <w:szCs w:val="17"/>
        </w:rPr>
        <w:t xml:space="preserve">Diese Antwort entscheidet über alles Weitere: Vertragsinhalte nach Artikel 30 Absatz 3, Ausstiegsplan, Meldepflicht an die Aufsicht. Begründen Sie sie, nicht nur ankreuzen.</w:t>
      </w:r>
    </w:p>
    <w:tbl>
      <w:tblPr>
        <w:tblW w:type="dxa" w:w="9360"/>
        <w:tblBorders>
          <w:top w:val="single" w:color="CBD5E1" w:sz="4"/>
          <w:left w:val="single" w:color="CBD5E1" w:sz="4"/>
          <w:bottom w:val="single" w:color="CBD5E1" w:sz="4"/>
          <w:right w:val="single" w:color="CBD5E1" w:sz="4"/>
          <w:insideH w:val="single" w:color="auto" w:sz="4"/>
          <w:insideV w:val="single" w:color="auto" w:sz="4"/>
        </w:tblBorders>
      </w:tblPr>
      <w:tblGrid>
        <w:gridCol w:w="9360"/>
      </w:tblGrid>
      <w:tr>
        <w:tc>
          <w:tcPr>
            <w:tcW w:type="dxa" w:w="9360"/>
            <w:shd w:fill="FFF3C4" w:color="auto" w:val="clear"/>
            <w:tcMar>
              <w:top w:type="dxa" w:w="80"/>
              <w:left w:type="dxa" w:w="100"/>
              <w:bottom w:type="dxa" w:w="80"/>
              <w:right w:type="dxa" w:w="100"/>
            </w:tcMar>
          </w:tcPr>
          <w:p>
            <w:pPr>
              <w:spacing w:after="100" w:before="0"/>
            </w:pPr>
            <w:r>
              <w:rPr>
                <w:rFonts w:ascii="Arial" w:cs="Arial" w:eastAsia="Arial" w:hAnsi="Arial"/>
                <w:color w:val="000000"/>
                <w:sz w:val="20"/>
                <w:szCs w:val="20"/>
              </w:rPr>
              <w:t xml:space="preserve"/>
            </w:r>
          </w:p>
          <w:p>
            <w:pPr>
              <w:spacing w:after="100" w:before="0"/>
            </w:pPr>
            <w:r>
              <w:rPr>
                <w:rFonts w:ascii="Arial" w:cs="Arial" w:eastAsia="Arial" w:hAnsi="Arial"/>
                <w:color w:val="000000"/>
                <w:sz w:val="20"/>
                <w:szCs w:val="20"/>
              </w:rPr>
              <w:t xml:space="preserve"/>
            </w:r>
          </w:p>
          <w:p>
            <w:pPr>
              <w:spacing w:after="100" w:before="0"/>
            </w:pPr>
            <w:r>
              <w:rPr>
                <w:rFonts w:ascii="Arial" w:cs="Arial" w:eastAsia="Arial" w:hAnsi="Arial"/>
                <w:color w:val="000000"/>
                <w:sz w:val="20"/>
                <w:szCs w:val="20"/>
              </w:rPr>
              <w:t xml:space="preserve"/>
            </w:r>
          </w:p>
        </w:tc>
      </w:tr>
    </w:tbl>
    <w:p>
      <w:pPr>
        <w:spacing w:after="60" w:before="200"/>
      </w:pPr>
      <w:r>
        <w:rPr>
          <w:rFonts w:ascii="Arial" w:cs="Arial" w:eastAsia="Arial" w:hAnsi="Arial"/>
          <w:b/>
          <w:bCs/>
          <w:color w:val="2F6BD8"/>
          <w:sz w:val="20"/>
          <w:szCs w:val="20"/>
        </w:rPr>
        <w:t xml:space="preserve">Artikel 28 Absatz 4 Buchstabe b – </w:t>
      </w:r>
      <w:r>
        <w:rPr>
          <w:rFonts w:ascii="Arial" w:cs="Arial" w:eastAsia="Arial" w:hAnsi="Arial"/>
          <w:b/>
          <w:bCs/>
          <w:color w:val="1A3255"/>
          <w:sz w:val="20"/>
          <w:szCs w:val="20"/>
        </w:rPr>
        <w:t xml:space="preserve">beurteilen, ob die aufsichtsrechtlichen Bedingungen für die Auftragsvergabe erfüllt sind;</w:t>
      </w:r>
    </w:p>
    <w:p>
      <w:pPr>
        <w:spacing w:after="100" w:before="0"/>
      </w:pPr>
      <w:r>
        <w:rPr>
          <w:rFonts w:ascii="Arial" w:cs="Arial" w:eastAsia="Arial" w:hAnsi="Arial"/>
          <w:i/>
          <w:iCs/>
          <w:color w:val="5B6B80"/>
          <w:sz w:val="17"/>
          <w:szCs w:val="17"/>
        </w:rPr>
        <w:t xml:space="preserve">Gemeint sind die aufsichtsrechtlichen Voraussetzungen, die für Ihr Haus und diese Art von Dienstleistung gelten.</w:t>
      </w:r>
    </w:p>
    <w:tbl>
      <w:tblPr>
        <w:tblW w:type="dxa" w:w="9360"/>
        <w:tblBorders>
          <w:top w:val="single" w:color="CBD5E1" w:sz="4"/>
          <w:left w:val="single" w:color="CBD5E1" w:sz="4"/>
          <w:bottom w:val="single" w:color="CBD5E1" w:sz="4"/>
          <w:right w:val="single" w:color="CBD5E1" w:sz="4"/>
          <w:insideH w:val="single" w:color="auto" w:sz="4"/>
          <w:insideV w:val="single" w:color="auto" w:sz="4"/>
        </w:tblBorders>
      </w:tblPr>
      <w:tblGrid>
        <w:gridCol w:w="9360"/>
      </w:tblGrid>
      <w:tr>
        <w:tc>
          <w:tcPr>
            <w:tcW w:type="dxa" w:w="9360"/>
            <w:shd w:fill="FFF3C4" w:color="auto" w:val="clear"/>
            <w:tcMar>
              <w:top w:type="dxa" w:w="80"/>
              <w:left w:type="dxa" w:w="100"/>
              <w:bottom w:type="dxa" w:w="80"/>
              <w:right w:type="dxa" w:w="100"/>
            </w:tcMar>
          </w:tcPr>
          <w:p>
            <w:pPr>
              <w:spacing w:after="100" w:before="0"/>
            </w:pPr>
            <w:r>
              <w:rPr>
                <w:rFonts w:ascii="Arial" w:cs="Arial" w:eastAsia="Arial" w:hAnsi="Arial"/>
                <w:color w:val="000000"/>
                <w:sz w:val="20"/>
                <w:szCs w:val="20"/>
              </w:rPr>
              <w:t xml:space="preserve"/>
            </w:r>
          </w:p>
          <w:p>
            <w:pPr>
              <w:spacing w:after="100" w:before="0"/>
            </w:pPr>
            <w:r>
              <w:rPr>
                <w:rFonts w:ascii="Arial" w:cs="Arial" w:eastAsia="Arial" w:hAnsi="Arial"/>
                <w:color w:val="000000"/>
                <w:sz w:val="20"/>
                <w:szCs w:val="20"/>
              </w:rPr>
              <w:t xml:space="preserve"/>
            </w:r>
          </w:p>
          <w:p>
            <w:pPr>
              <w:spacing w:after="100" w:before="0"/>
            </w:pPr>
            <w:r>
              <w:rPr>
                <w:rFonts w:ascii="Arial" w:cs="Arial" w:eastAsia="Arial" w:hAnsi="Arial"/>
                <w:color w:val="000000"/>
                <w:sz w:val="20"/>
                <w:szCs w:val="20"/>
              </w:rPr>
              <w:t xml:space="preserve"/>
            </w:r>
          </w:p>
        </w:tc>
      </w:tr>
    </w:tbl>
    <w:p>
      <w:pPr>
        <w:spacing w:after="60" w:before="200"/>
      </w:pPr>
      <w:r>
        <w:rPr>
          <w:rFonts w:ascii="Arial" w:cs="Arial" w:eastAsia="Arial" w:hAnsi="Arial"/>
          <w:b/>
          <w:bCs/>
          <w:color w:val="2F6BD8"/>
          <w:sz w:val="20"/>
          <w:szCs w:val="20"/>
        </w:rPr>
        <w:t xml:space="preserve">Artikel 28 Absatz 4 Buchstabe c – </w:t>
      </w:r>
      <w:r>
        <w:rPr>
          <w:rFonts w:ascii="Arial" w:cs="Arial" w:eastAsia="Arial" w:hAnsi="Arial"/>
          <w:b/>
          <w:bCs/>
          <w:color w:val="1A3255"/>
          <w:sz w:val="20"/>
          <w:szCs w:val="20"/>
        </w:rPr>
        <w:t xml:space="preserve">alle relevanten Risiken im Zusammenhang mit der vertraglichen Vereinbarung ermitteln und bewerten, einschließlich der Möglichkeit, dass diese vertragliche Vereinbarung dazu beitragen kann, das in Artikel 29 genannte IKT-Konzentrationsrisiko zu erhöhen;</w:t>
      </w:r>
    </w:p>
    <w:p>
      <w:pPr>
        <w:spacing w:after="100" w:before="0"/>
      </w:pPr>
      <w:r>
        <w:rPr>
          <w:rFonts w:ascii="Arial" w:cs="Arial" w:eastAsia="Arial" w:hAnsi="Arial"/>
          <w:i/>
          <w:iCs/>
          <w:color w:val="5B6B80"/>
          <w:sz w:val="17"/>
          <w:szCs w:val="17"/>
        </w:rPr>
        <w:t xml:space="preserve">Einschließlich der Frage, ob dieser Vertrag das Konzentrationsrisiko nach Artikel 29 erhöht – also ob Sie sich bei einem Anbieter oder einer Gruppe weiter bündeln.</w:t>
      </w:r>
    </w:p>
    <w:tbl>
      <w:tblPr>
        <w:tblW w:type="dxa" w:w="9360"/>
        <w:tblBorders>
          <w:top w:val="single" w:color="CBD5E1" w:sz="4"/>
          <w:left w:val="single" w:color="CBD5E1" w:sz="4"/>
          <w:bottom w:val="single" w:color="CBD5E1" w:sz="4"/>
          <w:right w:val="single" w:color="CBD5E1" w:sz="4"/>
          <w:insideH w:val="single" w:color="auto" w:sz="4"/>
          <w:insideV w:val="single" w:color="auto" w:sz="4"/>
        </w:tblBorders>
      </w:tblPr>
      <w:tblGrid>
        <w:gridCol w:w="9360"/>
      </w:tblGrid>
      <w:tr>
        <w:tc>
          <w:tcPr>
            <w:tcW w:type="dxa" w:w="9360"/>
            <w:shd w:fill="FFF3C4" w:color="auto" w:val="clear"/>
            <w:tcMar>
              <w:top w:type="dxa" w:w="80"/>
              <w:left w:type="dxa" w:w="100"/>
              <w:bottom w:type="dxa" w:w="80"/>
              <w:right w:type="dxa" w:w="100"/>
            </w:tcMar>
          </w:tcPr>
          <w:p>
            <w:pPr>
              <w:spacing w:after="100" w:before="0"/>
            </w:pPr>
            <w:r>
              <w:rPr>
                <w:rFonts w:ascii="Arial" w:cs="Arial" w:eastAsia="Arial" w:hAnsi="Arial"/>
                <w:color w:val="000000"/>
                <w:sz w:val="20"/>
                <w:szCs w:val="20"/>
              </w:rPr>
              <w:t xml:space="preserve"/>
            </w:r>
          </w:p>
          <w:p>
            <w:pPr>
              <w:spacing w:after="100" w:before="0"/>
            </w:pPr>
            <w:r>
              <w:rPr>
                <w:rFonts w:ascii="Arial" w:cs="Arial" w:eastAsia="Arial" w:hAnsi="Arial"/>
                <w:color w:val="000000"/>
                <w:sz w:val="20"/>
                <w:szCs w:val="20"/>
              </w:rPr>
              <w:t xml:space="preserve"/>
            </w:r>
          </w:p>
          <w:p>
            <w:pPr>
              <w:spacing w:after="100" w:before="0"/>
            </w:pPr>
            <w:r>
              <w:rPr>
                <w:rFonts w:ascii="Arial" w:cs="Arial" w:eastAsia="Arial" w:hAnsi="Arial"/>
                <w:color w:val="000000"/>
                <w:sz w:val="20"/>
                <w:szCs w:val="20"/>
              </w:rPr>
              <w:t xml:space="preserve"/>
            </w:r>
          </w:p>
        </w:tc>
      </w:tr>
    </w:tbl>
    <w:p>
      <w:pPr>
        <w:spacing w:after="60" w:before="200"/>
      </w:pPr>
      <w:r>
        <w:rPr>
          <w:rFonts w:ascii="Arial" w:cs="Arial" w:eastAsia="Arial" w:hAnsi="Arial"/>
          <w:b/>
          <w:bCs/>
          <w:color w:val="2F6BD8"/>
          <w:sz w:val="20"/>
          <w:szCs w:val="20"/>
        </w:rPr>
        <w:t xml:space="preserve">Artikel 28 Absatz 4 Buchstabe d – </w:t>
      </w:r>
      <w:r>
        <w:rPr>
          <w:rFonts w:ascii="Arial" w:cs="Arial" w:eastAsia="Arial" w:hAnsi="Arial"/>
          <w:b/>
          <w:bCs/>
          <w:color w:val="1A3255"/>
          <w:sz w:val="20"/>
          <w:szCs w:val="20"/>
        </w:rPr>
        <w:t xml:space="preserve">bei potenziellen IKT-Drittdienstleistern der gebotenen Sorgfaltspflicht nachkommen und während des gesamten Auswahl- und Bewertungsprozesses sicherstellen, dass der IKT-Drittdienstleister geeignet ist;</w:t>
      </w:r>
    </w:p>
    <w:p>
      <w:pPr>
        <w:spacing w:after="100" w:before="0"/>
      </w:pPr>
      <w:r>
        <w:rPr>
          <w:rFonts w:ascii="Arial" w:cs="Arial" w:eastAsia="Arial" w:hAnsi="Arial"/>
          <w:i/>
          <w:iCs/>
          <w:color w:val="5B6B80"/>
          <w:sz w:val="17"/>
          <w:szCs w:val="17"/>
        </w:rPr>
        <w:t xml:space="preserve">Die Sorgfaltsprüfung ist der Teil, für den die Selbstauskunft des Anbieters gedacht ist. Was er nicht beantwortet, ist selbst ein Ergebnis.</w:t>
      </w:r>
    </w:p>
    <w:tbl>
      <w:tblPr>
        <w:tblW w:type="dxa" w:w="9360"/>
        <w:tblBorders>
          <w:top w:val="single" w:color="CBD5E1" w:sz="4"/>
          <w:left w:val="single" w:color="CBD5E1" w:sz="4"/>
          <w:bottom w:val="single" w:color="CBD5E1" w:sz="4"/>
          <w:right w:val="single" w:color="CBD5E1" w:sz="4"/>
          <w:insideH w:val="single" w:color="auto" w:sz="4"/>
          <w:insideV w:val="single" w:color="auto" w:sz="4"/>
        </w:tblBorders>
      </w:tblPr>
      <w:tblGrid>
        <w:gridCol w:w="9360"/>
      </w:tblGrid>
      <w:tr>
        <w:tc>
          <w:tcPr>
            <w:tcW w:type="dxa" w:w="9360"/>
            <w:shd w:fill="FFF3C4" w:color="auto" w:val="clear"/>
            <w:tcMar>
              <w:top w:type="dxa" w:w="80"/>
              <w:left w:type="dxa" w:w="100"/>
              <w:bottom w:type="dxa" w:w="80"/>
              <w:right w:type="dxa" w:w="100"/>
            </w:tcMar>
          </w:tcPr>
          <w:p>
            <w:pPr>
              <w:spacing w:after="100" w:before="0"/>
            </w:pPr>
            <w:r>
              <w:rPr>
                <w:rFonts w:ascii="Arial" w:cs="Arial" w:eastAsia="Arial" w:hAnsi="Arial"/>
                <w:color w:val="000000"/>
                <w:sz w:val="20"/>
                <w:szCs w:val="20"/>
              </w:rPr>
              <w:t xml:space="preserve"/>
            </w:r>
          </w:p>
          <w:p>
            <w:pPr>
              <w:spacing w:after="100" w:before="0"/>
            </w:pPr>
            <w:r>
              <w:rPr>
                <w:rFonts w:ascii="Arial" w:cs="Arial" w:eastAsia="Arial" w:hAnsi="Arial"/>
                <w:color w:val="000000"/>
                <w:sz w:val="20"/>
                <w:szCs w:val="20"/>
              </w:rPr>
              <w:t xml:space="preserve"/>
            </w:r>
          </w:p>
          <w:p>
            <w:pPr>
              <w:spacing w:after="100" w:before="0"/>
            </w:pPr>
            <w:r>
              <w:rPr>
                <w:rFonts w:ascii="Arial" w:cs="Arial" w:eastAsia="Arial" w:hAnsi="Arial"/>
                <w:color w:val="000000"/>
                <w:sz w:val="20"/>
                <w:szCs w:val="20"/>
              </w:rPr>
              <w:t xml:space="preserve"/>
            </w:r>
          </w:p>
        </w:tc>
      </w:tr>
    </w:tbl>
    <w:p>
      <w:pPr>
        <w:spacing w:after="60" w:before="200"/>
      </w:pPr>
      <w:r>
        <w:rPr>
          <w:rFonts w:ascii="Arial" w:cs="Arial" w:eastAsia="Arial" w:hAnsi="Arial"/>
          <w:b/>
          <w:bCs/>
          <w:color w:val="2F6BD8"/>
          <w:sz w:val="20"/>
          <w:szCs w:val="20"/>
        </w:rPr>
        <w:t xml:space="preserve">Artikel 28 Absatz 4 Buchstabe e – </w:t>
      </w:r>
      <w:r>
        <w:rPr>
          <w:rFonts w:ascii="Arial" w:cs="Arial" w:eastAsia="Arial" w:hAnsi="Arial"/>
          <w:b/>
          <w:bCs/>
          <w:color w:val="1A3255"/>
          <w:sz w:val="20"/>
          <w:szCs w:val="20"/>
        </w:rPr>
        <w:t xml:space="preserve">Interessenkonflikte, die durch die vertragliche Vereinbarung entstehen können, ermitteln und bewerten.</w:t>
      </w:r>
    </w:p>
    <w:p>
      <w:pPr>
        <w:spacing w:after="100" w:before="0"/>
      </w:pPr>
      <w:r>
        <w:rPr>
          <w:rFonts w:ascii="Arial" w:cs="Arial" w:eastAsia="Arial" w:hAnsi="Arial"/>
          <w:i/>
          <w:iCs/>
          <w:color w:val="5B6B80"/>
          <w:sz w:val="17"/>
          <w:szCs w:val="17"/>
        </w:rPr>
        <w:t xml:space="preserve">Auch gruppeninterne Vereinbarungen können Interessenkonflikte auslösen.</w:t>
      </w:r>
    </w:p>
    <w:tbl>
      <w:tblPr>
        <w:tblW w:type="dxa" w:w="9360"/>
        <w:tblBorders>
          <w:top w:val="single" w:color="CBD5E1" w:sz="4"/>
          <w:left w:val="single" w:color="CBD5E1" w:sz="4"/>
          <w:bottom w:val="single" w:color="CBD5E1" w:sz="4"/>
          <w:right w:val="single" w:color="CBD5E1" w:sz="4"/>
          <w:insideH w:val="single" w:color="auto" w:sz="4"/>
          <w:insideV w:val="single" w:color="auto" w:sz="4"/>
        </w:tblBorders>
      </w:tblPr>
      <w:tblGrid>
        <w:gridCol w:w="9360"/>
      </w:tblGrid>
      <w:tr>
        <w:tc>
          <w:tcPr>
            <w:tcW w:type="dxa" w:w="9360"/>
            <w:shd w:fill="FFF3C4" w:color="auto" w:val="clear"/>
            <w:tcMar>
              <w:top w:type="dxa" w:w="80"/>
              <w:left w:type="dxa" w:w="100"/>
              <w:bottom w:type="dxa" w:w="80"/>
              <w:right w:type="dxa" w:w="100"/>
            </w:tcMar>
          </w:tcPr>
          <w:p>
            <w:pPr>
              <w:spacing w:after="100" w:before="0"/>
            </w:pPr>
            <w:r>
              <w:rPr>
                <w:rFonts w:ascii="Arial" w:cs="Arial" w:eastAsia="Arial" w:hAnsi="Arial"/>
                <w:color w:val="000000"/>
                <w:sz w:val="20"/>
                <w:szCs w:val="20"/>
              </w:rPr>
              <w:t xml:space="preserve"/>
            </w:r>
          </w:p>
          <w:p>
            <w:pPr>
              <w:spacing w:after="100" w:before="0"/>
            </w:pPr>
            <w:r>
              <w:rPr>
                <w:rFonts w:ascii="Arial" w:cs="Arial" w:eastAsia="Arial" w:hAnsi="Arial"/>
                <w:color w:val="000000"/>
                <w:sz w:val="20"/>
                <w:szCs w:val="20"/>
              </w:rPr>
              <w:t xml:space="preserve"/>
            </w:r>
          </w:p>
          <w:p>
            <w:pPr>
              <w:spacing w:after="100" w:before="0"/>
            </w:pPr>
            <w:r>
              <w:rPr>
                <w:rFonts w:ascii="Arial" w:cs="Arial" w:eastAsia="Arial" w:hAnsi="Arial"/>
                <w:color w:val="000000"/>
                <w:sz w:val="20"/>
                <w:szCs w:val="20"/>
              </w:rPr>
              <w:t xml:space="preserve"/>
            </w:r>
          </w:p>
        </w:tc>
      </w:tr>
    </w:tbl>
    <w:p>
      <w:pPr>
        <w:pStyle w:val="Heading2"/>
        <w:spacing w:after="100" w:before="240"/>
      </w:pPr>
      <w:r>
        <w:rPr>
          <w:rFonts w:ascii="Arial" w:cs="Arial" w:eastAsia="Arial" w:hAnsi="Arial"/>
          <w:b/>
          <w:bCs/>
          <w:color w:val="1A3255"/>
          <w:sz w:val="23"/>
          <w:szCs w:val="23"/>
        </w:rPr>
        <w:t xml:space="preserve">Ergänzend: Informationssicherheitsstandards (Artikel 28 Absatz 5)</w:t>
      </w:r>
    </w:p>
    <w:p>
      <w:pPr>
        <w:spacing w:after="100" w:before="0"/>
      </w:pPr>
      <w:r>
        <w:rPr>
          <w:rFonts w:ascii="Arial" w:cs="Arial" w:eastAsia="Arial" w:hAnsi="Arial"/>
          <w:color w:val="000000"/>
          <w:sz w:val="17"/>
          <w:szCs w:val="17"/>
        </w:rPr>
        <w:t xml:space="preserve">(5) Finanzunternehmen dürfen vertragliche Vereinbarungen nur mit IKT-Drittdienstleistern schließen, die angemessene Standards für Informationssicherheit einhalten. Betreffen diese vertraglichen Vereinbarungen kritische oder wichtige Funktionen, so berücksichtigen die Finanzunternehmen vor Abschluss der Vereinbarungen angemessen, ob die IKT-Drittdienstleister die aktuellsten und höchsten Qualitätsstandards für die Informationssicherheit anwenden.</w:t>
      </w:r>
    </w:p>
    <w:tbl>
      <w:tblPr>
        <w:tblW w:type="dxa" w:w="9360"/>
        <w:tblBorders>
          <w:top w:val="single" w:color="CBD5E1" w:sz="4"/>
          <w:left w:val="single" w:color="CBD5E1" w:sz="4"/>
          <w:bottom w:val="single" w:color="CBD5E1" w:sz="4"/>
          <w:right w:val="single" w:color="CBD5E1" w:sz="4"/>
          <w:insideH w:val="single" w:color="auto" w:sz="4"/>
          <w:insideV w:val="single" w:color="auto" w:sz="4"/>
        </w:tblBorders>
      </w:tblPr>
      <w:tblGrid>
        <w:gridCol w:w="9360"/>
      </w:tblGrid>
      <w:tr>
        <w:tc>
          <w:tcPr>
            <w:tcW w:type="dxa" w:w="9360"/>
            <w:shd w:fill="FFF3C4" w:color="auto" w:val="clear"/>
            <w:tcMar>
              <w:top w:type="dxa" w:w="80"/>
              <w:left w:type="dxa" w:w="100"/>
              <w:bottom w:type="dxa" w:w="80"/>
              <w:right w:type="dxa" w:w="100"/>
            </w:tcMar>
          </w:tcPr>
          <w:p>
            <w:pPr>
              <w:spacing w:after="100" w:before="0"/>
            </w:pPr>
            <w:r>
              <w:rPr>
                <w:rFonts w:ascii="Arial" w:cs="Arial" w:eastAsia="Arial" w:hAnsi="Arial"/>
                <w:color w:val="000000"/>
                <w:sz w:val="20"/>
                <w:szCs w:val="20"/>
              </w:rPr>
              <w:t xml:space="preserve"/>
            </w:r>
          </w:p>
          <w:p>
            <w:pPr>
              <w:spacing w:after="100" w:before="0"/>
            </w:pPr>
            <w:r>
              <w:rPr>
                <w:rFonts w:ascii="Arial" w:cs="Arial" w:eastAsia="Arial" w:hAnsi="Arial"/>
                <w:color w:val="000000"/>
                <w:sz w:val="20"/>
                <w:szCs w:val="20"/>
              </w:rPr>
              <w:t xml:space="preserve"/>
            </w:r>
          </w:p>
        </w:tc>
      </w:tr>
    </w:tbl>
    <w:p>
      <w:pPr>
        <w:pStyle w:val="Heading2"/>
        <w:spacing w:after="100" w:before="240"/>
      </w:pPr>
      <w:r>
        <w:rPr>
          <w:rFonts w:ascii="Arial" w:cs="Arial" w:eastAsia="Arial" w:hAnsi="Arial"/>
          <w:b/>
          <w:bCs/>
          <w:color w:val="1A3255"/>
          <w:sz w:val="23"/>
          <w:szCs w:val="23"/>
        </w:rPr>
        <w:t xml:space="preserve">Ergänzend: Ausstiegsstrategie (Artikel 28 Absatz 8)</w:t>
      </w:r>
    </w:p>
    <w:p>
      <w:pPr>
        <w:spacing w:after="100" w:before="0"/>
      </w:pPr>
      <w:r>
        <w:rPr>
          <w:rFonts w:ascii="Arial" w:cs="Arial" w:eastAsia="Arial" w:hAnsi="Arial"/>
          <w:i/>
          <w:iCs/>
          <w:color w:val="5B6B80"/>
          <w:sz w:val="17"/>
          <w:szCs w:val="17"/>
        </w:rPr>
        <w:t xml:space="preserve">Nur auszufüllen, wenn die Funktion kritisch oder wichtig ist.</w:t>
      </w:r>
    </w:p>
    <w:p>
      <w:pPr>
        <w:spacing w:after="100" w:before="0"/>
      </w:pPr>
      <w:r>
        <w:rPr>
          <w:rFonts w:ascii="Arial" w:cs="Arial" w:eastAsia="Arial" w:hAnsi="Arial"/>
          <w:color w:val="000000"/>
          <w:sz w:val="17"/>
          <w:szCs w:val="17"/>
        </w:rPr>
        <w:t xml:space="preserve">Welche alternative Lösung kommt in Frage, wie lange dauert der Übergang realistisch, und welche Kündigungsfrist steht dem gegenüber?</w:t>
      </w:r>
    </w:p>
    <w:tbl>
      <w:tblPr>
        <w:tblW w:type="dxa" w:w="9360"/>
        <w:tblBorders>
          <w:top w:val="single" w:color="CBD5E1" w:sz="4"/>
          <w:left w:val="single" w:color="CBD5E1" w:sz="4"/>
          <w:bottom w:val="single" w:color="CBD5E1" w:sz="4"/>
          <w:right w:val="single" w:color="CBD5E1" w:sz="4"/>
          <w:insideH w:val="single" w:color="auto" w:sz="4"/>
          <w:insideV w:val="single" w:color="auto" w:sz="4"/>
        </w:tblBorders>
      </w:tblPr>
      <w:tblGrid>
        <w:gridCol w:w="9360"/>
      </w:tblGrid>
      <w:tr>
        <w:tc>
          <w:tcPr>
            <w:tcW w:type="dxa" w:w="9360"/>
            <w:shd w:fill="FFF3C4" w:color="auto" w:val="clear"/>
            <w:tcMar>
              <w:top w:type="dxa" w:w="80"/>
              <w:left w:type="dxa" w:w="100"/>
              <w:bottom w:type="dxa" w:w="80"/>
              <w:right w:type="dxa" w:w="100"/>
            </w:tcMar>
          </w:tcPr>
          <w:p>
            <w:pPr>
              <w:spacing w:after="100" w:before="0"/>
            </w:pPr>
            <w:r>
              <w:rPr>
                <w:rFonts w:ascii="Arial" w:cs="Arial" w:eastAsia="Arial" w:hAnsi="Arial"/>
                <w:color w:val="000000"/>
                <w:sz w:val="20"/>
                <w:szCs w:val="20"/>
              </w:rPr>
              <w:t xml:space="preserve"/>
            </w:r>
          </w:p>
          <w:p>
            <w:pPr>
              <w:spacing w:after="100" w:before="0"/>
            </w:pPr>
            <w:r>
              <w:rPr>
                <w:rFonts w:ascii="Arial" w:cs="Arial" w:eastAsia="Arial" w:hAnsi="Arial"/>
                <w:color w:val="000000"/>
                <w:sz w:val="20"/>
                <w:szCs w:val="20"/>
              </w:rPr>
              <w:t xml:space="preserve"/>
            </w:r>
          </w:p>
          <w:p>
            <w:pPr>
              <w:spacing w:after="100" w:before="0"/>
            </w:pPr>
            <w:r>
              <w:rPr>
                <w:rFonts w:ascii="Arial" w:cs="Arial" w:eastAsia="Arial" w:hAnsi="Arial"/>
                <w:color w:val="000000"/>
                <w:sz w:val="20"/>
                <w:szCs w:val="20"/>
              </w:rPr>
              <w:t xml:space="preserve"/>
            </w:r>
          </w:p>
        </w:tc>
      </w:tr>
    </w:tbl>
    <w:p>
      <w:pPr>
        <w:pStyle w:val="Heading2"/>
        <w:spacing w:after="100" w:before="240"/>
      </w:pPr>
      <w:r>
        <w:rPr>
          <w:rFonts w:ascii="Arial" w:cs="Arial" w:eastAsia="Arial" w:hAnsi="Arial"/>
          <w:b/>
          <w:bCs/>
          <w:color w:val="1A3255"/>
          <w:sz w:val="23"/>
          <w:szCs w:val="23"/>
        </w:rPr>
        <w:t xml:space="preserve">Quelle und Haftung</w:t>
      </w:r>
    </w:p>
    <w:p>
      <w:pPr>
        <w:spacing w:after="100" w:before="200"/>
      </w:pPr>
      <w:r>
        <w:rPr>
          <w:rFonts w:ascii="Arial" w:cs="Arial" w:eastAsia="Arial" w:hAnsi="Arial"/>
          <w:color w:val="5B6B80"/>
          <w:sz w:val="15"/>
          <w:szCs w:val="15"/>
        </w:rPr>
        <w:t xml:space="preserve">Der Anforderungstext stammt wörtlich aus Artikel 28 Absätze 4, 5 und 8 der Verordnung (EU) 2022/2554 (ABl. L 333 vom 27.12.2022).</w:t>
      </w:r>
    </w:p>
    <w:p>
      <w:pPr>
        <w:spacing w:after="100" w:before="200"/>
      </w:pPr>
      <w:r>
        <w:rPr>
          <w:rFonts w:ascii="Arial" w:cs="Arial" w:eastAsia="Arial" w:hAnsi="Arial"/>
          <w:color w:val="5B6B80"/>
          <w:sz w:val="15"/>
          <w:szCs w:val="15"/>
        </w:rPr>
        <w:t xml:space="preserve">Diese Vorlage ist eine fachliche Arbeitshilfe und ersetzt keine Prüfung des Einzelfalls. Verbindlich ist allein der im Amtsblatt der Europäischen Union veröffentlichte Wortlaut. Sie dürfen die Vorlage in Ihrem Haus verwenden, anpassen und intern weitergeben; eine Weitergabe als eigene Leistung an Dritte ist nicht gestattet.</w:t>
      </w:r>
    </w:p>
    <w:sectPr>
      <w:headerReference w:type="default" r:id="rId7"/>
      <w:footerReference w:type="default" r:id="rId8"/>
      <w:pgSz w:w="11906" w:h="16838" w:orient="portrait"/>
      <w:pgMar w:top="1100" w:right="1000" w:bottom="10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left"/>
    </w:pPr>
    <w:r>
      <w:rPr>
        <w:rFonts w:ascii="Arial" w:cs="Arial" w:eastAsia="Arial" w:hAnsi="Arial"/>
        <w:color w:val="5B6B80"/>
        <w:sz w:val="15"/>
        <w:szCs w:val="15"/>
      </w:rPr>
      <w:t xml:space="preserve">dora-manager.de · Vorabbewertung · Stand 28.09.2026 · Seite </w:t>
    </w:r>
    <w:r>
      <w:rPr>
        <w:rFonts w:ascii="Arial" w:cs="Arial" w:eastAsia="Arial" w:hAnsi="Arial"/>
        <w:color w:val="5B6B80"/>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BD5E1" w:sz="6" w:space="6"/>
      </w:pBdr>
      <w:spacing w:after="180"/>
    </w:pPr>
    <w:r>
      <w:rPr>
        <w:rFonts w:ascii="Arial" w:cs="Arial" w:eastAsia="Arial" w:hAnsi="Arial"/>
        <w:color w:val="5B6B80"/>
        <w:sz w:val="16"/>
        <w:szCs w:val="16"/>
      </w:rPr>
      <w:t xml:space="preserve">Vorabbewertung nach Artikel 28 Absatz 4 DORA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59"/>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Company>compliance-experts e. K.</Company>
  <Manager>Björn Birenti</Manager>
</Properties>
</file>

<file path=docProps/core.xml><?xml version="1.0" encoding="utf-8"?>
<cp:coreProperties xmlns:cp="http://schemas.openxmlformats.org/package/2006/metadata/core-properties" xmlns:dc="http://purl.org/dc/elements/1.1/" xmlns:dcterms="http://purl.org/dc/terms/" xmlns:dcmitype="http://purl.org/dcmitype/" xmlns:xsi="http://www.w3.org/2001/XMLSchema-instance">
  <dc:title>Vorabbewertung nach Artikel 28 Absatz 4 DORA</dc:title>
  <dc:subject>Verordnung (EU) 2022/2554 (DORA)</dc:subject>
  <dc:creator>Björn Birenti</dc:creator>
  <cp:keywords>DORA; Artikel 28; Vorabbewertung; Due Diligence</cp:keywords>
  <dc:description>Vorlage für die Bewertung vor Vertragsschluss nach Artikel 28 Absatz 4 DORA, mit den fünf Prüfpunkten.</dc:description>
  <cp:lastModifiedBy>Björn Birenti</cp:lastModifiedBy>
  <cp:revision>1</cp:revision>
  <dcterms:created xsi:type="dcterms:W3CDTF">2026-09-28T15:35:57Z</dcterms:created>
  <dcterms:modified xsi:type="dcterms:W3CDTF">2026-10-03T15:30:48Z</dcterms:modified>
  <dc:language>de-DE</dc:language>
</cp:coreProperties>
</file>

<file path=docProps/custom.xml><?xml version="1.0" encoding="utf-8"?>
<Properties xmlns="http://schemas.openxmlformats.org/officeDocument/2006/custom-properties" xmlns:vt="http://schemas.openxmlformats.org/officeDocument/2006/docPropsVTypes"/>
</file>